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80"/>
        <w:jc w:val="center"/>
      </w:pPr>
      <w:r>
        <w:rPr>
          <w:rFonts w:ascii="游ゴシック" w:hAnsi="游ゴシック"/>
          <w:b/>
          <w:sz w:val="32"/>
        </w:rPr>
        <w:t>推奨銘柄（米国株式）</w:t>
      </w:r>
    </w:p>
    <w:p>
      <w:pPr>
        <w:spacing w:after="0"/>
        <w:jc w:val="right"/>
      </w:pPr>
      <w:r>
        <w:rPr>
          <w:rFonts w:ascii="游ゴシック" w:hAnsi="游ゴシック"/>
          <w:b w:val="0"/>
          <w:sz w:val="22"/>
        </w:rPr>
        <w:t>2026年7月8日</w:t>
      </w:r>
    </w:p>
    <w:p>
      <w:pPr>
        <w:spacing w:after="80"/>
      </w:pPr>
      <w:r>
        <w:rPr>
          <w:rFonts w:ascii="游ゴシック" w:hAnsi="游ゴシック"/>
          <w:b w:val="0"/>
          <w:sz w:val="20"/>
        </w:rPr>
      </w:r>
    </w:p>
    <w:p>
      <w:pPr>
        <w:spacing w:after="80"/>
      </w:pPr>
      <w:r>
        <w:rPr>
          <w:rFonts w:ascii="游ゴシック" w:hAnsi="游ゴシック"/>
          <w:b w:val="0"/>
          <w:sz w:val="20"/>
        </w:rPr>
        <w:t>以下6つの観点から総合的に精査し、10銘柄を選定。</w:t>
      </w:r>
    </w:p>
    <w:p>
      <w:r>
        <w:rPr>
          <w:rFonts w:ascii="游ゴシック" w:hAnsi="游ゴシック"/>
          <w:sz w:val="20"/>
        </w:rPr>
        <w:t>・今期以降、業績の持続的な成長が見込まれる</w:t>
      </w:r>
    </w:p>
    <w:p>
      <w:r>
        <w:rPr>
          <w:rFonts w:ascii="游ゴシック" w:hAnsi="游ゴシック"/>
          <w:sz w:val="20"/>
        </w:rPr>
        <w:t>・高い収益性を有している（特にROE、ROAを重視）</w:t>
      </w:r>
    </w:p>
    <w:p>
      <w:r>
        <w:rPr>
          <w:rFonts w:ascii="游ゴシック" w:hAnsi="游ゴシック"/>
          <w:sz w:val="20"/>
        </w:rPr>
        <w:t>・競争優位性が強固であり、同業他社の追随を許さないポジションを確立している</w:t>
      </w:r>
    </w:p>
    <w:p>
      <w:r>
        <w:rPr>
          <w:rFonts w:ascii="游ゴシック" w:hAnsi="游ゴシック"/>
          <w:sz w:val="20"/>
        </w:rPr>
        <w:t>・長期的な成長余地を裏付ける、明確かつ魅力的なエクイティ・ストーリーを有している</w:t>
      </w:r>
    </w:p>
    <w:p>
      <w:r>
        <w:rPr>
          <w:rFonts w:ascii="游ゴシック" w:hAnsi="游ゴシック"/>
          <w:sz w:val="20"/>
        </w:rPr>
        <w:t>・バリュエーション面での妙味が認められる（主にPERおよび株価推移を踏まえて判断）</w:t>
      </w:r>
    </w:p>
    <w:p>
      <w:r>
        <w:rPr>
          <w:rFonts w:ascii="游ゴシック" w:hAnsi="游ゴシック"/>
          <w:sz w:val="20"/>
        </w:rPr>
        <w:t>・銘柄全体として、業種および時価総額規模の分散が適切に確保されている</w:t>
      </w:r>
    </w:p>
    <w:p>
      <w:pPr>
        <w:spacing w:after="80"/>
      </w:pPr>
      <w:r>
        <w:rPr>
          <w:rFonts w:ascii="游ゴシック" w:hAnsi="游ゴシック"/>
          <w:b w:val="0"/>
          <w:sz w:val="20"/>
        </w:rPr>
      </w:r>
    </w:p>
    <w:p>
      <w:pPr>
        <w:spacing w:after="80"/>
      </w:pPr>
      <w:r>
        <w:rPr>
          <w:rFonts w:ascii="游ゴシック" w:hAnsi="游ゴシック"/>
          <w:b/>
          <w:sz w:val="24"/>
        </w:rPr>
        <w:t>選定銘柄</w:t>
      </w:r>
    </w:p>
    <w:p>
      <w:r>
        <w:rPr>
          <w:rFonts w:ascii="游ゴシック" w:hAnsi="游ゴシック"/>
          <w:b/>
          <w:sz w:val="20"/>
        </w:rPr>
        <w:t>① アマゾン・ドットコム（AMZN）</w:t>
      </w:r>
    </w:p>
    <w:p>
      <w:r>
        <w:rPr>
          <w:rFonts w:ascii="游ゴシック" w:hAnsi="游ゴシック"/>
          <w:b/>
          <w:sz w:val="20"/>
        </w:rPr>
        <w:t>② ブロードコム（AVGO）</w:t>
      </w:r>
    </w:p>
    <w:p>
      <w:r>
        <w:rPr>
          <w:rFonts w:ascii="游ゴシック" w:hAnsi="游ゴシック"/>
          <w:b/>
          <w:sz w:val="20"/>
        </w:rPr>
        <w:t>③ ジョンソン・エンド・ジョンソン（JNJ）</w:t>
      </w:r>
    </w:p>
    <w:p>
      <w:r>
        <w:rPr>
          <w:rFonts w:ascii="游ゴシック" w:hAnsi="游ゴシック"/>
          <w:b/>
          <w:sz w:val="20"/>
        </w:rPr>
        <w:t>④ マスターカード（MA）</w:t>
      </w:r>
    </w:p>
    <w:p>
      <w:r>
        <w:rPr>
          <w:rFonts w:ascii="游ゴシック" w:hAnsi="游ゴシック"/>
          <w:b/>
          <w:sz w:val="20"/>
        </w:rPr>
        <w:t>⑤ マーベル・テクノロジー（MRVL）</w:t>
      </w:r>
    </w:p>
    <w:p>
      <w:r>
        <w:rPr>
          <w:rFonts w:ascii="游ゴシック" w:hAnsi="游ゴシック"/>
          <w:b/>
          <w:sz w:val="20"/>
        </w:rPr>
        <w:t>⑥ フェデックス（FDX）</w:t>
      </w:r>
    </w:p>
    <w:p>
      <w:r>
        <w:rPr>
          <w:rFonts w:ascii="游ゴシック" w:hAnsi="游ゴシック"/>
          <w:b/>
          <w:sz w:val="20"/>
        </w:rPr>
        <w:t>⑦ モノリシック・パワー・システムズ（MPWR）</w:t>
      </w:r>
    </w:p>
    <w:p>
      <w:r>
        <w:rPr>
          <w:rFonts w:ascii="游ゴシック" w:hAnsi="游ゴシック"/>
          <w:b/>
          <w:sz w:val="20"/>
        </w:rPr>
        <w:t>⑧ シエナ（CIEN）</w:t>
      </w:r>
    </w:p>
    <w:p>
      <w:r>
        <w:rPr>
          <w:rFonts w:ascii="游ゴシック" w:hAnsi="游ゴシック"/>
          <w:b/>
          <w:sz w:val="20"/>
        </w:rPr>
        <w:t>⑨ クレド・テクノロジー（CRDO）</w:t>
      </w:r>
    </w:p>
    <w:p>
      <w:r>
        <w:rPr>
          <w:rFonts w:ascii="游ゴシック" w:hAnsi="游ゴシック"/>
          <w:b/>
          <w:sz w:val="20"/>
        </w:rPr>
        <w:t>⑩ オートデスク（ADSK）</w:t>
      </w:r>
    </w:p>
    <w:p>
      <w:r>
        <w:br w:type="page"/>
      </w:r>
    </w:p>
    <w:p>
      <w:pPr>
        <w:spacing w:after="80"/>
      </w:pPr>
      <w:r>
        <w:rPr>
          <w:rFonts w:ascii="游ゴシック" w:hAnsi="游ゴシック"/>
          <w:b/>
          <w:sz w:val="24"/>
        </w:rPr>
        <w:t>① アマゾン・ドットコム（AMZN）</w:t>
      </w:r>
    </w:p>
    <w:p>
      <w:pPr>
        <w:spacing w:after="40"/>
      </w:pPr>
      <w:r>
        <w:rPr>
          <w:rFonts w:ascii="游ゴシック" w:hAnsi="游ゴシック"/>
          <w:sz w:val="20"/>
        </w:rPr>
        <w:t>・北米・インターナショナル・AWSの3セグメント体制による多角的な事業基盤。特にAWSはクラウドインフラ市場で約30%のシェアを維持し、グループ全体の営業利益の過半を稼ぎ出す収益エンジン。膨大な物流網とプライム会員基盤を軸としたエコシステムが、他社の追随を許さない強固な参入障壁。</w:t>
      </w:r>
    </w:p>
    <w:p>
      <w:pPr>
        <w:spacing w:after="40"/>
      </w:pPr>
      <w:r>
        <w:rPr>
          <w:rFonts w:ascii="游ゴシック" w:hAnsi="游ゴシック"/>
          <w:sz w:val="20"/>
        </w:rPr>
        <w:t>・生成AI需要を背景としたAWSの再加速が最大の成長ドライバー。独自AI半導体Trainium・Inferentiaへの投資と、AnthropicをはじめとするAI企業との連携による差別化。2024年12月期のROEは23.34%、利益率は12.22%と、EC事業の効率化とクラウド高採算構造による収益性改善の顕著な進展。</w:t>
      </w:r>
    </w:p>
    <w:p>
      <w:pPr>
        <w:spacing w:after="40"/>
      </w:pPr>
      <w:r>
        <w:rPr>
          <w:rFonts w:ascii="游ゴシック" w:hAnsi="游ゴシック"/>
          <w:sz w:val="20"/>
        </w:rPr>
        <w:t>・小売事業では第三者出品者向けサービスや広告事業が高利益率の新たな柱。デジタル広告市場でのシェア拡大と、物流自動化・AI活用によるコスト構造の最適化が中長期的な利益率押し上げ要因。ROA9.91%と資産効率の着実な向上余地。</w:t>
      </w:r>
    </w:p>
    <w:p>
      <w:pPr>
        <w:spacing w:after="40"/>
      </w:pPr>
      <w:r>
        <w:rPr>
          <w:rFonts w:ascii="游ゴシック" w:hAnsi="游ゴシック"/>
          <w:sz w:val="20"/>
        </w:rPr>
        <w:t>・予想PER24.84倍(Non-GAAPベース)は、大型テック株の中では相対的に妥当な水準。AWSの二桁成長回復と広告・サブスク事業の拡大を勘案すれば、時価総額2兆6460億ドル規模ながら依然として成長余地の大きい投資妙味。</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2,646億＄</w:t>
            </w:r>
          </w:p>
        </w:tc>
        <w:tc>
          <w:tcPr>
            <w:tcW w:type="dxa" w:w="2126"/>
            <w:vAlign w:val="center"/>
          </w:tcPr>
          <w:p>
            <w:pPr>
              <w:spacing w:before="0" w:after="0"/>
              <w:jc w:val="center"/>
            </w:pPr>
            <w:r>
              <w:rPr>
                <w:rFonts w:ascii="游ゴシック" w:hAnsi="游ゴシック"/>
                <w:sz w:val="18"/>
              </w:rPr>
              <w:t>ROE: 23.34%</w:t>
            </w:r>
          </w:p>
        </w:tc>
        <w:tc>
          <w:tcPr>
            <w:tcW w:type="dxa" w:w="2126"/>
            <w:vAlign w:val="center"/>
          </w:tcPr>
          <w:p>
            <w:pPr>
              <w:spacing w:before="0" w:after="0"/>
              <w:jc w:val="center"/>
            </w:pPr>
            <w:r>
              <w:rPr>
                <w:rFonts w:ascii="游ゴシック" w:hAnsi="游ゴシック"/>
                <w:sz w:val="18"/>
              </w:rPr>
              <w:t>ROA: 9.91%</w:t>
            </w:r>
          </w:p>
        </w:tc>
        <w:tc>
          <w:tcPr>
            <w:tcW w:type="dxa" w:w="2126"/>
            <w:vAlign w:val="center"/>
          </w:tcPr>
          <w:p>
            <w:pPr>
              <w:spacing w:before="0" w:after="0"/>
              <w:jc w:val="center"/>
            </w:pPr>
            <w:r>
              <w:rPr>
                <w:rFonts w:ascii="游ゴシック" w:hAnsi="游ゴシック"/>
                <w:sz w:val="18"/>
              </w:rPr>
              <w:t>PER: 24.84倍</w:t>
            </w:r>
          </w:p>
        </w:tc>
      </w:tr>
    </w:tbl>
    <w:p>
      <w:pPr>
        <w:jc w:val="center"/>
      </w:pPr>
      <w:r>
        <w:drawing>
          <wp:inline xmlns:a="http://schemas.openxmlformats.org/drawingml/2006/main" xmlns:pic="http://schemas.openxmlformats.org/drawingml/2006/picture">
            <wp:extent cx="5486400" cy="2805388"/>
            <wp:docPr id="1" name="Picture 1"/>
            <wp:cNvGraphicFramePr>
              <a:graphicFrameLocks noChangeAspect="1"/>
            </wp:cNvGraphicFramePr>
            <a:graphic>
              <a:graphicData uri="http://schemas.openxmlformats.org/drawingml/2006/picture">
                <pic:pic>
                  <pic:nvPicPr>
                    <pic:cNvPr id="0" name="chart_AMZN.png"/>
                    <pic:cNvPicPr/>
                  </pic:nvPicPr>
                  <pic:blipFill>
                    <a:blip r:embed="rId12"/>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② ブロードコム（AVGO）</w:t>
      </w:r>
    </w:p>
    <w:p>
      <w:pPr>
        <w:spacing w:after="40"/>
      </w:pPr>
      <w:r>
        <w:rPr>
          <w:rFonts w:ascii="游ゴシック" w:hAnsi="游ゴシック"/>
          <w:sz w:val="20"/>
        </w:rPr>
        <w:t>・有線インフラ、無線通信、エンタープライズストレージ、産業向けの4事業を展開する半導体・インフラソフトの世界的大手。カスタムASICや高速ネットワークチップで培った技術力と、幅広い製品ポートフォリオが競争優位性の源泉。利益率38.85%、ROE36.40%と業界屈指の高収益体質。買収戦略を通じた事業多角化と規模の経済の追求。</w:t>
      </w:r>
    </w:p>
    <w:p>
      <w:pPr>
        <w:spacing w:after="40"/>
      </w:pPr>
      <w:r>
        <w:rPr>
          <w:rFonts w:ascii="游ゴシック" w:hAnsi="游ゴシック"/>
          <w:sz w:val="20"/>
        </w:rPr>
        <w:t>・最大の成長ドライバーは生成AI向け半導体需要の拡大。ハイパースケーラー向けのカスタムAIアクセラレータや高速スイッチングチップで圧倒的な地位を確立し、AI関連売上は急拡大局面。データセンターのネットワーク高速化ニーズを背景に、中長期での持続的成長への高い期待。</w:t>
      </w:r>
    </w:p>
    <w:p>
      <w:pPr>
        <w:spacing w:after="40"/>
      </w:pPr>
      <w:r>
        <w:rPr>
          <w:rFonts w:ascii="游ゴシック" w:hAnsi="游ゴシック"/>
          <w:sz w:val="20"/>
        </w:rPr>
        <w:t>・VMware買収を通じたインフラソフト事業の強化により、収益構造の安定化と高マージンな経常収益基盤を構築。ハードとソフトの両輪による事業モデルは景気変動への耐性を高める要因。ソフトウェア比率の上昇による全社利益率のさらなる改善余地。</w:t>
      </w:r>
    </w:p>
    <w:p>
      <w:pPr>
        <w:spacing w:after="40"/>
      </w:pPr>
      <w:r>
        <w:rPr>
          <w:rFonts w:ascii="游ゴシック" w:hAnsi="游ゴシック"/>
          <w:sz w:val="20"/>
        </w:rPr>
        <w:t>・予想PER（Non-GAAPベース）は19.12倍と、AI関連の高成長銘柄群の中では相対的に割安な水準。時価総額1,764億ドル規模ながら成長性と収益性を両立し、成長性を勘案したバリュエーションの魅力。AI需要の顕在化に伴う業績上振れとレーティング拡大の余地。</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1,764億＄</w:t>
            </w:r>
          </w:p>
        </w:tc>
        <w:tc>
          <w:tcPr>
            <w:tcW w:type="dxa" w:w="2126"/>
            <w:vAlign w:val="center"/>
          </w:tcPr>
          <w:p>
            <w:pPr>
              <w:spacing w:before="0" w:after="0"/>
              <w:jc w:val="center"/>
            </w:pPr>
            <w:r>
              <w:rPr>
                <w:rFonts w:ascii="游ゴシック" w:hAnsi="游ゴシック"/>
                <w:sz w:val="18"/>
              </w:rPr>
              <w:t>ROE: 36.40%</w:t>
            </w:r>
          </w:p>
        </w:tc>
        <w:tc>
          <w:tcPr>
            <w:tcW w:type="dxa" w:w="2126"/>
            <w:vAlign w:val="center"/>
          </w:tcPr>
          <w:p>
            <w:pPr>
              <w:spacing w:before="0" w:after="0"/>
              <w:jc w:val="center"/>
            </w:pPr>
            <w:r>
              <w:rPr>
                <w:rFonts w:ascii="游ゴシック" w:hAnsi="游ゴシック"/>
                <w:sz w:val="18"/>
              </w:rPr>
              <w:t>ROA: 16.36%</w:t>
            </w:r>
          </w:p>
        </w:tc>
        <w:tc>
          <w:tcPr>
            <w:tcW w:type="dxa" w:w="2126"/>
            <w:vAlign w:val="center"/>
          </w:tcPr>
          <w:p>
            <w:pPr>
              <w:spacing w:before="0" w:after="0"/>
              <w:jc w:val="center"/>
            </w:pPr>
            <w:r>
              <w:rPr>
                <w:rFonts w:ascii="游ゴシック" w:hAnsi="游ゴシック"/>
                <w:sz w:val="18"/>
              </w:rPr>
              <w:t>PER: 19.12倍</w:t>
            </w:r>
          </w:p>
        </w:tc>
      </w:tr>
    </w:tbl>
    <w:p>
      <w:pPr>
        <w:jc w:val="center"/>
      </w:pPr>
      <w:r>
        <w:drawing>
          <wp:inline xmlns:a="http://schemas.openxmlformats.org/drawingml/2006/main" xmlns:pic="http://schemas.openxmlformats.org/drawingml/2006/picture">
            <wp:extent cx="5486400" cy="2805388"/>
            <wp:docPr id="2" name="Picture 2"/>
            <wp:cNvGraphicFramePr>
              <a:graphicFrameLocks noChangeAspect="1"/>
            </wp:cNvGraphicFramePr>
            <a:graphic>
              <a:graphicData uri="http://schemas.openxmlformats.org/drawingml/2006/picture">
                <pic:pic>
                  <pic:nvPicPr>
                    <pic:cNvPr id="0" name="chart_AVGO.png"/>
                    <pic:cNvPicPr/>
                  </pic:nvPicPr>
                  <pic:blipFill>
                    <a:blip r:embed="rId13"/>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③ ジョンソン・エンド・ジョンソン（JNJ）</w:t>
      </w:r>
    </w:p>
    <w:p>
      <w:pPr>
        <w:spacing w:after="40"/>
      </w:pPr>
      <w:r>
        <w:rPr>
          <w:rFonts w:ascii="游ゴシック" w:hAnsi="游ゴシック"/>
          <w:sz w:val="20"/>
        </w:rPr>
        <w:t>・医薬品のInnovative MedicineとMedTechの2部門を柱とする世界最大級のヘルスケア企業。免疫・腫瘍・神経科学など幅広い治療領域と、整形外科・外科・ビジョン等の医療機器を横断する多角化ポートフォリオ。2025年12月期の純利益率21.83%、ROE26.26%と、業界屈指の高収益性と資本効率の両立。</w:t>
      </w:r>
    </w:p>
    <w:p>
      <w:pPr>
        <w:spacing w:after="40"/>
      </w:pPr>
      <w:r>
        <w:rPr>
          <w:rFonts w:ascii="游ゴシック" w:hAnsi="游ゴシック"/>
          <w:sz w:val="20"/>
        </w:rPr>
        <w:t>・成長ドライバーは、がん領域の主力薬DarzalexやCarvyktiを中心とするInnovative Medicine部門の拡大、および高採算のMedTech事業。免疫治療薬Stelaraの特許切れによる逆風を、新薬パイプラインの上市で相殺する構図。豊富な研究開発投資と買収戦略による中長期の売上補完余地。</w:t>
      </w:r>
    </w:p>
    <w:p>
      <w:pPr>
        <w:spacing w:after="40"/>
      </w:pPr>
      <w:r>
        <w:rPr>
          <w:rFonts w:ascii="游ゴシック" w:hAnsi="游ゴシック"/>
          <w:sz w:val="20"/>
        </w:rPr>
        <w:t>・競争優位性は、AAA格付けに支えられた強固な財務基盤と、60年以上連続増配の株主還元姿勢。多岐にわたる製品群による事業分散でディフェンシブ性を確保し、景気変動耐性の高いキャッシュフロー創出力。特許・ブランド・規制参入障壁による安定した市場地位。</w:t>
      </w:r>
    </w:p>
    <w:p>
      <w:pPr>
        <w:spacing w:after="40"/>
      </w:pPr>
      <w:r>
        <w:rPr>
          <w:rFonts w:ascii="游ゴシック" w:hAnsi="游ゴシック"/>
          <w:sz w:val="20"/>
        </w:rPr>
        <w:t>・バリュエーションは予想PER20.98倍（Non-GAAPベース）と、ヘルスケア大手として妥当な水準。ROA10.47%と堅実な資産効率を背景に、талク訴訟等の法的リスクを織り込みつつも下値の限定的な見通し。安定配当と防御的特性を重視する長期投資家向けのコア候補としての位置付け。</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643億＄</w:t>
            </w:r>
          </w:p>
        </w:tc>
        <w:tc>
          <w:tcPr>
            <w:tcW w:type="dxa" w:w="2126"/>
            <w:vAlign w:val="center"/>
          </w:tcPr>
          <w:p>
            <w:pPr>
              <w:spacing w:before="0" w:after="0"/>
              <w:jc w:val="center"/>
            </w:pPr>
            <w:r>
              <w:rPr>
                <w:rFonts w:ascii="游ゴシック" w:hAnsi="游ゴシック"/>
                <w:sz w:val="18"/>
              </w:rPr>
              <w:t>ROE: 26.26%</w:t>
            </w:r>
          </w:p>
        </w:tc>
        <w:tc>
          <w:tcPr>
            <w:tcW w:type="dxa" w:w="2126"/>
            <w:vAlign w:val="center"/>
          </w:tcPr>
          <w:p>
            <w:pPr>
              <w:spacing w:before="0" w:after="0"/>
              <w:jc w:val="center"/>
            </w:pPr>
            <w:r>
              <w:rPr>
                <w:rFonts w:ascii="游ゴシック" w:hAnsi="游ゴシック"/>
                <w:sz w:val="18"/>
              </w:rPr>
              <w:t>ROA: 10.47%</w:t>
            </w:r>
          </w:p>
        </w:tc>
        <w:tc>
          <w:tcPr>
            <w:tcW w:type="dxa" w:w="2126"/>
            <w:vAlign w:val="center"/>
          </w:tcPr>
          <w:p>
            <w:pPr>
              <w:spacing w:before="0" w:after="0"/>
              <w:jc w:val="center"/>
            </w:pPr>
            <w:r>
              <w:rPr>
                <w:rFonts w:ascii="游ゴシック" w:hAnsi="游ゴシック"/>
                <w:sz w:val="18"/>
              </w:rPr>
              <w:t>PER: 20.98倍</w:t>
            </w:r>
          </w:p>
        </w:tc>
      </w:tr>
    </w:tbl>
    <w:p>
      <w:pPr>
        <w:jc w:val="center"/>
      </w:pPr>
      <w:r>
        <w:drawing>
          <wp:inline xmlns:a="http://schemas.openxmlformats.org/drawingml/2006/main" xmlns:pic="http://schemas.openxmlformats.org/drawingml/2006/picture">
            <wp:extent cx="5486400" cy="2805388"/>
            <wp:docPr id="3" name="Picture 3"/>
            <wp:cNvGraphicFramePr>
              <a:graphicFrameLocks noChangeAspect="1"/>
            </wp:cNvGraphicFramePr>
            <a:graphic>
              <a:graphicData uri="http://schemas.openxmlformats.org/drawingml/2006/picture">
                <pic:pic>
                  <pic:nvPicPr>
                    <pic:cNvPr id="0" name="chart_JNJ.png"/>
                    <pic:cNvPicPr/>
                  </pic:nvPicPr>
                  <pic:blipFill>
                    <a:blip r:embed="rId14"/>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④ マスターカード（MA）</w:t>
      </w:r>
    </w:p>
    <w:p>
      <w:pPr>
        <w:spacing w:after="40"/>
      </w:pPr>
      <w:r>
        <w:rPr>
          <w:rFonts w:ascii="游ゴシック" w:hAnsi="游ゴシック"/>
          <w:sz w:val="20"/>
        </w:rPr>
        <w:t>・世界2大決済ネットワークの一角として、Visaとともにグローバルなカードスキームでほぼ寡占状態を構築。オーソリゼーション・クリアリング・セトルメントを一貫して処理する強固なネットワーク基盤と、参加金融機関・加盟店が増えるほど価値が高まるネットワーク効果が参入障壁。2024年12月期の営業利益率45.88%と、ネットワーク型ビジネスならではの高い資本効率。</w:t>
      </w:r>
    </w:p>
    <w:p>
      <w:pPr>
        <w:spacing w:after="40"/>
      </w:pPr>
      <w:r>
        <w:rPr>
          <w:rFonts w:ascii="游ゴシック" w:hAnsi="游ゴシック"/>
          <w:sz w:val="20"/>
        </w:rPr>
        <w:t>・成長ドライバーは、現金からデジタル決済への構造的シフトと、越境取引・電子商取引の拡大。加えて付加価値サービス（データ分析・サイバーセキュリティ・不正検知等）が高マージンの新たな収益柱。2024年12月期のROE206.12%、ROA29.69%と、資本を極小化しつつ利益を最大化する優れたアセットライト・モデル。</w:t>
      </w:r>
    </w:p>
    <w:p>
      <w:pPr>
        <w:spacing w:after="40"/>
      </w:pPr>
      <w:r>
        <w:rPr>
          <w:rFonts w:ascii="游ゴシック" w:hAnsi="游ゴシック"/>
          <w:sz w:val="20"/>
        </w:rPr>
        <w:t>・バリュエーションはNon-GAAPベースの予想PER23.33倍と、質の高い成長企業としては比較的妥当な水準。利益率45.88%という卓越した収益性を勘案すれば、プレミアム評価にも一定の合理性。世界的な決済デジタル化の長期トレンドを背景に、成長余地は依然として大きい見通し。</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470億＄</w:t>
            </w:r>
          </w:p>
        </w:tc>
        <w:tc>
          <w:tcPr>
            <w:tcW w:type="dxa" w:w="2126"/>
            <w:vAlign w:val="center"/>
          </w:tcPr>
          <w:p>
            <w:pPr>
              <w:spacing w:before="0" w:after="0"/>
              <w:jc w:val="center"/>
            </w:pPr>
            <w:r>
              <w:rPr>
                <w:rFonts w:ascii="游ゴシック" w:hAnsi="游ゴシック"/>
                <w:sz w:val="18"/>
              </w:rPr>
              <w:t>ROE: 206.12%</w:t>
            </w:r>
          </w:p>
        </w:tc>
        <w:tc>
          <w:tcPr>
            <w:tcW w:type="dxa" w:w="2126"/>
            <w:vAlign w:val="center"/>
          </w:tcPr>
          <w:p>
            <w:pPr>
              <w:spacing w:before="0" w:after="0"/>
              <w:jc w:val="center"/>
            </w:pPr>
            <w:r>
              <w:rPr>
                <w:rFonts w:ascii="游ゴシック" w:hAnsi="游ゴシック"/>
                <w:sz w:val="18"/>
              </w:rPr>
              <w:t>ROA: 29.69%</w:t>
            </w:r>
          </w:p>
        </w:tc>
        <w:tc>
          <w:tcPr>
            <w:tcW w:type="dxa" w:w="2126"/>
            <w:vAlign w:val="center"/>
          </w:tcPr>
          <w:p>
            <w:pPr>
              <w:spacing w:before="0" w:after="0"/>
              <w:jc w:val="center"/>
            </w:pPr>
            <w:r>
              <w:rPr>
                <w:rFonts w:ascii="游ゴシック" w:hAnsi="游ゴシック"/>
                <w:sz w:val="18"/>
              </w:rPr>
              <w:t>PER: 23.33倍</w:t>
            </w:r>
          </w:p>
        </w:tc>
      </w:tr>
    </w:tbl>
    <w:p>
      <w:pPr>
        <w:jc w:val="center"/>
      </w:pPr>
      <w:r>
        <w:drawing>
          <wp:inline xmlns:a="http://schemas.openxmlformats.org/drawingml/2006/main" xmlns:pic="http://schemas.openxmlformats.org/drawingml/2006/picture">
            <wp:extent cx="5486400" cy="2805388"/>
            <wp:docPr id="4" name="Picture 4"/>
            <wp:cNvGraphicFramePr>
              <a:graphicFrameLocks noChangeAspect="1"/>
            </wp:cNvGraphicFramePr>
            <a:graphic>
              <a:graphicData uri="http://schemas.openxmlformats.org/drawingml/2006/picture">
                <pic:pic>
                  <pic:nvPicPr>
                    <pic:cNvPr id="0" name="chart_MA.png"/>
                    <pic:cNvPicPr/>
                  </pic:nvPicPr>
                  <pic:blipFill>
                    <a:blip r:embed="rId15"/>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⑤ マーベル・テクノロジー（MRVL）</w:t>
      </w:r>
    </w:p>
    <w:p>
      <w:pPr>
        <w:spacing w:after="40"/>
      </w:pPr>
      <w:r>
        <w:rPr>
          <w:rFonts w:ascii="游ゴシック" w:hAnsi="游ゴシック"/>
          <w:sz w:val="20"/>
        </w:rPr>
        <w:t>・データセンター向け半導体を中核とするデータインフラソリューションのリーディングカンパニー。カスタムAIシリコン（ASIC）や光デバイス（PAM4 DSP）、イーサネット製品群を軸に、大手クラウド事業者との深い協業関係を構築。アナログ・ミックスドシグナル・デジタル信号処理を統合するSoC設計技術に基づく高い技術参入障壁が競争優位性の源泉。直近の利益率は28.99%と高水準。</w:t>
      </w:r>
    </w:p>
    <w:p>
      <w:pPr>
        <w:spacing w:after="40"/>
      </w:pPr>
      <w:r>
        <w:rPr>
          <w:rFonts w:ascii="游ゴシック" w:hAnsi="游ゴシック"/>
          <w:sz w:val="20"/>
        </w:rPr>
        <w:t>・最大の成長ドライバーはAI関連需要。生成AI向けデータセンター投資の拡大を背景に、カスタムASICおよび光インターコネクト需要が急伸。データセンター部門が全社売上の過半を占める構造へと転換し、AI関連売上は今後数年にわたり高成長が見込まれる領域。エッジからコアまでを網羅する幅広いポートフォリオによる複数の成長機会の獲得。</w:t>
      </w:r>
    </w:p>
    <w:p>
      <w:pPr>
        <w:spacing w:after="40"/>
      </w:pPr>
      <w:r>
        <w:rPr>
          <w:rFonts w:ascii="游ゴシック" w:hAnsi="游ゴシック"/>
          <w:sz w:val="20"/>
        </w:rPr>
        <w:t>・収益性はROE16.84%、ROA9.38%と良好な水準を確保。一方でエンタープライズ・キャリア向けなど一部レガシー事業の需要回復には時間を要する可能性。地政学リスクや米中規制動向、顧客集中度の高さが下振れ要因として留意すべき点。</w:t>
      </w:r>
    </w:p>
    <w:p>
      <w:pPr>
        <w:spacing w:after="40"/>
      </w:pPr>
      <w:r>
        <w:rPr>
          <w:rFonts w:ascii="游ゴシック" w:hAnsi="游ゴシック"/>
          <w:sz w:val="20"/>
        </w:rPr>
        <w:t>・バリュエーションは予想PER37.34倍（Non-GAAPベース）と半導体セクター平均を上回る割高な水準。ただしAIカスタムシリコン市場での確固たるポジションと高成長期待を織り込んだ株価形成。中長期的なAIインフラ需要拡大を前提とすれば、成長性を評価したプレミアム許容の余地。</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202億＄</w:t>
            </w:r>
          </w:p>
        </w:tc>
        <w:tc>
          <w:tcPr>
            <w:tcW w:type="dxa" w:w="2126"/>
            <w:vAlign w:val="center"/>
          </w:tcPr>
          <w:p>
            <w:pPr>
              <w:spacing w:before="0" w:after="0"/>
              <w:jc w:val="center"/>
            </w:pPr>
            <w:r>
              <w:rPr>
                <w:rFonts w:ascii="游ゴシック" w:hAnsi="游ゴシック"/>
                <w:sz w:val="18"/>
              </w:rPr>
              <w:t>ROE: 16.84%</w:t>
            </w:r>
          </w:p>
        </w:tc>
        <w:tc>
          <w:tcPr>
            <w:tcW w:type="dxa" w:w="2126"/>
            <w:vAlign w:val="center"/>
          </w:tcPr>
          <w:p>
            <w:pPr>
              <w:spacing w:before="0" w:after="0"/>
              <w:jc w:val="center"/>
            </w:pPr>
            <w:r>
              <w:rPr>
                <w:rFonts w:ascii="游ゴシック" w:hAnsi="游ゴシック"/>
                <w:sz w:val="18"/>
              </w:rPr>
              <w:t>ROA: 9.38%</w:t>
            </w:r>
          </w:p>
        </w:tc>
        <w:tc>
          <w:tcPr>
            <w:tcW w:type="dxa" w:w="2126"/>
            <w:vAlign w:val="center"/>
          </w:tcPr>
          <w:p>
            <w:pPr>
              <w:spacing w:before="0" w:after="0"/>
              <w:jc w:val="center"/>
            </w:pPr>
            <w:r>
              <w:rPr>
                <w:rFonts w:ascii="游ゴシック" w:hAnsi="游ゴシック"/>
                <w:sz w:val="18"/>
              </w:rPr>
              <w:t>PER: 37.34倍</w:t>
            </w:r>
          </w:p>
        </w:tc>
      </w:tr>
    </w:tbl>
    <w:p>
      <w:pPr>
        <w:jc w:val="center"/>
      </w:pPr>
      <w:r>
        <w:drawing>
          <wp:inline xmlns:a="http://schemas.openxmlformats.org/drawingml/2006/main" xmlns:pic="http://schemas.openxmlformats.org/drawingml/2006/picture">
            <wp:extent cx="5486400" cy="2805388"/>
            <wp:docPr id="5" name="Picture 5"/>
            <wp:cNvGraphicFramePr>
              <a:graphicFrameLocks noChangeAspect="1"/>
            </wp:cNvGraphicFramePr>
            <a:graphic>
              <a:graphicData uri="http://schemas.openxmlformats.org/drawingml/2006/picture">
                <pic:pic>
                  <pic:nvPicPr>
                    <pic:cNvPr id="0" name="chart_MRVL.png"/>
                    <pic:cNvPicPr/>
                  </pic:nvPicPr>
                  <pic:blipFill>
                    <a:blip r:embed="rId16"/>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⑥ フェデックス（FDX）</w:t>
      </w:r>
    </w:p>
    <w:p>
      <w:pPr>
        <w:spacing w:after="40"/>
      </w:pPr>
      <w:r>
        <w:rPr>
          <w:rFonts w:ascii="游ゴシック" w:hAnsi="游ゴシック"/>
          <w:sz w:val="20"/>
        </w:rPr>
        <w:t>・FedExは航空・陸上輸送を統合したグローバル物流の最大手であり、世界220以上の国と地域をカバーする広範なネットワークが最大の競争優位性。FedEx Express部門による時間指定の速達サービスや国際クロスボーダー物流は高い参入障壁を構築。時価総額75億ドル規模のインフラ資産と密度の高い配送網が、UPSやDHLと並ぶ寡占的地位の源泉。</w:t>
      </w:r>
    </w:p>
    <w:p>
      <w:pPr>
        <w:spacing w:after="40"/>
      </w:pPr>
      <w:r>
        <w:rPr>
          <w:rFonts w:ascii="游ゴシック" w:hAnsi="游ゴシック"/>
          <w:sz w:val="20"/>
        </w:rPr>
        <w:t>・収益性面では、直近実績のROEが15.11%、ROAが4.48%と、資本効率で堅調な水準を確保。一方で純利益率は4.68%にとどまり、労働集約的かつ燃料コストに敏感な物流業界特有の薄利構造が課題。構造改革プログラム『DRIVE』によるコスト削減とネットワーク統合が、今後の利益率改善に向けた主要な成長ドライバー。</w:t>
      </w:r>
    </w:p>
    <w:p>
      <w:pPr>
        <w:spacing w:after="40"/>
      </w:pPr>
      <w:r>
        <w:rPr>
          <w:rFonts w:ascii="游ゴシック" w:hAnsi="游ゴシック"/>
          <w:sz w:val="20"/>
        </w:rPr>
        <w:t>・成長ドライバーとしては、eコマース需要の拡大とサプライチェーン最適化ニーズの高まりが追い風。国際物流やラストマイル配送領域での事業拡大に加え、Freight部門のスピンオフによる事業ポートフォリオ再編が企業価値向上の触媒。景気循環への感応度は高いものの、産業活動の回復局面での業績レバレッジに期待。</w:t>
      </w:r>
    </w:p>
    <w:p>
      <w:pPr>
        <w:spacing w:after="40"/>
      </w:pPr>
      <w:r>
        <w:rPr>
          <w:rFonts w:ascii="游ゴシック" w:hAnsi="游ゴシック"/>
          <w:sz w:val="20"/>
        </w:rPr>
        <w:t>・バリュエーションはNon-GAAPベースの予想PERが15.15倍と、市場平均を下回る割安圏での推移。安定したキャッシュフローに基づく継続的な株主還元と自社株買いも下支え要因。コスト構造改革の進展とマクロ環境の改善が顕在化すれば、バリュエーション再評価の余地が残る局面。</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75億＄</w:t>
            </w:r>
          </w:p>
        </w:tc>
        <w:tc>
          <w:tcPr>
            <w:tcW w:type="dxa" w:w="2126"/>
            <w:vAlign w:val="center"/>
          </w:tcPr>
          <w:p>
            <w:pPr>
              <w:spacing w:before="0" w:after="0"/>
              <w:jc w:val="center"/>
            </w:pPr>
            <w:r>
              <w:rPr>
                <w:rFonts w:ascii="游ゴシック" w:hAnsi="游ゴシック"/>
                <w:sz w:val="18"/>
              </w:rPr>
              <w:t>ROE: 15.11%</w:t>
            </w:r>
          </w:p>
        </w:tc>
        <w:tc>
          <w:tcPr>
            <w:tcW w:type="dxa" w:w="2126"/>
            <w:vAlign w:val="center"/>
          </w:tcPr>
          <w:p>
            <w:pPr>
              <w:spacing w:before="0" w:after="0"/>
              <w:jc w:val="center"/>
            </w:pPr>
            <w:r>
              <w:rPr>
                <w:rFonts w:ascii="游ゴシック" w:hAnsi="游ゴシック"/>
                <w:sz w:val="18"/>
              </w:rPr>
              <w:t>ROA: 4.48%</w:t>
            </w:r>
          </w:p>
        </w:tc>
        <w:tc>
          <w:tcPr>
            <w:tcW w:type="dxa" w:w="2126"/>
            <w:vAlign w:val="center"/>
          </w:tcPr>
          <w:p>
            <w:pPr>
              <w:spacing w:before="0" w:after="0"/>
              <w:jc w:val="center"/>
            </w:pPr>
            <w:r>
              <w:rPr>
                <w:rFonts w:ascii="游ゴシック" w:hAnsi="游ゴシック"/>
                <w:sz w:val="18"/>
              </w:rPr>
              <w:t>PER: 15.15倍</w:t>
            </w:r>
          </w:p>
        </w:tc>
      </w:tr>
    </w:tbl>
    <w:p>
      <w:pPr>
        <w:jc w:val="center"/>
      </w:pPr>
      <w:r>
        <w:drawing>
          <wp:inline xmlns:a="http://schemas.openxmlformats.org/drawingml/2006/main" xmlns:pic="http://schemas.openxmlformats.org/drawingml/2006/picture">
            <wp:extent cx="5486400" cy="2805388"/>
            <wp:docPr id="6" name="Picture 6"/>
            <wp:cNvGraphicFramePr>
              <a:graphicFrameLocks noChangeAspect="1"/>
            </wp:cNvGraphicFramePr>
            <a:graphic>
              <a:graphicData uri="http://schemas.openxmlformats.org/drawingml/2006/picture">
                <pic:pic>
                  <pic:nvPicPr>
                    <pic:cNvPr id="0" name="chart_FDX.png"/>
                    <pic:cNvPicPr/>
                  </pic:nvPicPr>
                  <pic:blipFill>
                    <a:blip r:embed="rId17"/>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⑦ モノリシック・パワー・システムズ（MPWR）</w:t>
      </w:r>
    </w:p>
    <w:p>
      <w:pPr>
        <w:spacing w:after="40"/>
      </w:pPr>
      <w:r>
        <w:rPr>
          <w:rFonts w:ascii="游ゴシック" w:hAnsi="游ゴシック"/>
          <w:sz w:val="20"/>
        </w:rPr>
        <w:t>・電源管理IC分野に特化したファブレス半導体メーカーとして、独自のアナログ・混合信号設計技術を強みとするMPWR。DC-DCコンバータICを中核に、ITやデータストレージ、車載、産業、通信、民生機器と幅広い産業へ展開する事業ポートフォリオ。特定顧客への依存を抑えた分散型の顧客基盤と、高集積・高効率設計による差別化された競争優位性。</w:t>
      </w:r>
    </w:p>
    <w:p>
      <w:pPr>
        <w:spacing w:after="40"/>
      </w:pPr>
      <w:r>
        <w:rPr>
          <w:rFonts w:ascii="游ゴシック" w:hAnsi="游ゴシック"/>
          <w:sz w:val="20"/>
        </w:rPr>
        <w:t>・直近実績における売上高利益率は22.84%と高水準を維持し、収益性の高さを示す事業構造。2025年時点のROEは19.05%、ROAは15.18%と、資産効率・株主資本効率ともに半導体業界内で良好な水準。ファブレスモデルによる資本負担の軽さと、高付加価値製品への集中がもたらす財務健全性。</w:t>
      </w:r>
    </w:p>
    <w:p>
      <w:pPr>
        <w:spacing w:after="40"/>
      </w:pPr>
      <w:r>
        <w:rPr>
          <w:rFonts w:ascii="游ゴシック" w:hAnsi="游ゴシック"/>
          <w:sz w:val="20"/>
        </w:rPr>
        <w:t>・AIデータセンター向け電源ソリューションや車載電動化の進展が中長期の成長ドライバー。エンタープライズデータ向け電源管理需要の拡大に伴い、単価・数量両面での事業拡大余地。産業・自動車分野での設計採用増加による、景気変動に左右されにくい収益基盤の構築余地。</w:t>
      </w:r>
    </w:p>
    <w:p>
      <w:pPr>
        <w:spacing w:after="40"/>
      </w:pPr>
      <w:r>
        <w:rPr>
          <w:rFonts w:ascii="游ゴシック" w:hAnsi="游ゴシック"/>
          <w:sz w:val="20"/>
        </w:rPr>
        <w:t>・予想PER（Non-GAAPベース）は41.96倍と市場平均を大きく上回る高いバリュエーション水準。時価総額63億ドルという規模に対し、AI・車載向け成長期待が株価に相応に織り込まれた状態。高成長の持続性が確認されれば正当化される一方、成長鈍化局面では調整リスクを内包する評価水準。</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63億＄</w:t>
            </w:r>
          </w:p>
        </w:tc>
        <w:tc>
          <w:tcPr>
            <w:tcW w:type="dxa" w:w="2126"/>
            <w:vAlign w:val="center"/>
          </w:tcPr>
          <w:p>
            <w:pPr>
              <w:spacing w:before="0" w:after="0"/>
              <w:jc w:val="center"/>
            </w:pPr>
            <w:r>
              <w:rPr>
                <w:rFonts w:ascii="游ゴシック" w:hAnsi="游ゴシック"/>
                <w:sz w:val="18"/>
              </w:rPr>
              <w:t>ROE: 19.05%</w:t>
            </w:r>
          </w:p>
        </w:tc>
        <w:tc>
          <w:tcPr>
            <w:tcW w:type="dxa" w:w="2126"/>
            <w:vAlign w:val="center"/>
          </w:tcPr>
          <w:p>
            <w:pPr>
              <w:spacing w:before="0" w:after="0"/>
              <w:jc w:val="center"/>
            </w:pPr>
            <w:r>
              <w:rPr>
                <w:rFonts w:ascii="游ゴシック" w:hAnsi="游ゴシック"/>
                <w:sz w:val="18"/>
              </w:rPr>
              <w:t>ROA: 15.18%</w:t>
            </w:r>
          </w:p>
        </w:tc>
        <w:tc>
          <w:tcPr>
            <w:tcW w:type="dxa" w:w="2126"/>
            <w:vAlign w:val="center"/>
          </w:tcPr>
          <w:p>
            <w:pPr>
              <w:spacing w:before="0" w:after="0"/>
              <w:jc w:val="center"/>
            </w:pPr>
            <w:r>
              <w:rPr>
                <w:rFonts w:ascii="游ゴシック" w:hAnsi="游ゴシック"/>
                <w:sz w:val="18"/>
              </w:rPr>
              <w:t>PER: 41.96倍</w:t>
            </w:r>
          </w:p>
        </w:tc>
      </w:tr>
    </w:tbl>
    <w:p>
      <w:pPr>
        <w:jc w:val="center"/>
      </w:pPr>
      <w:r>
        <w:drawing>
          <wp:inline xmlns:a="http://schemas.openxmlformats.org/drawingml/2006/main" xmlns:pic="http://schemas.openxmlformats.org/drawingml/2006/picture">
            <wp:extent cx="5486400" cy="2777404"/>
            <wp:docPr id="7" name="Picture 7"/>
            <wp:cNvGraphicFramePr>
              <a:graphicFrameLocks noChangeAspect="1"/>
            </wp:cNvGraphicFramePr>
            <a:graphic>
              <a:graphicData uri="http://schemas.openxmlformats.org/drawingml/2006/picture">
                <pic:pic>
                  <pic:nvPicPr>
                    <pic:cNvPr id="0" name="chart_MPWR.png"/>
                    <pic:cNvPicPr/>
                  </pic:nvPicPr>
                  <pic:blipFill>
                    <a:blip r:embed="rId18"/>
                    <a:stretch>
                      <a:fillRect/>
                    </a:stretch>
                  </pic:blipFill>
                  <pic:spPr>
                    <a:xfrm>
                      <a:off x="0" y="0"/>
                      <a:ext cx="5486400" cy="2777404"/>
                    </a:xfrm>
                    <a:prstGeom prst="rect"/>
                  </pic:spPr>
                </pic:pic>
              </a:graphicData>
            </a:graphic>
          </wp:inline>
        </w:drawing>
      </w:r>
    </w:p>
    <w:p>
      <w:r>
        <w:br w:type="page"/>
      </w:r>
    </w:p>
    <w:p>
      <w:pPr>
        <w:spacing w:after="80"/>
      </w:pPr>
      <w:r>
        <w:rPr>
          <w:rFonts w:ascii="游ゴシック" w:hAnsi="游ゴシック"/>
          <w:b/>
          <w:sz w:val="24"/>
        </w:rPr>
        <w:t>⑧ シエナ（CIEN）</w:t>
      </w:r>
    </w:p>
    <w:p>
      <w:pPr>
        <w:spacing w:after="40"/>
      </w:pPr>
      <w:r>
        <w:rPr>
          <w:rFonts w:ascii="游ゴシック" w:hAnsi="游ゴシック"/>
          <w:sz w:val="20"/>
        </w:rPr>
        <w:t>・光ネットワーク機器分野における技術優位性。シエナは光伝送・パケットネットワーキング分野のグローバルリーダーであり、コヒーレント光技術WaveLogicシリーズで業界を先導。通信キャリアやクラウド事業者を主要顧客とし、大容量・高効率のネットワーク構築ソリューションで確固たる地位。競合のノキアやシスコに対し、光伝送に特化した専門性と製品力が差別化要因。</w:t>
      </w:r>
    </w:p>
    <w:p>
      <w:pPr>
        <w:spacing w:after="40"/>
      </w:pPr>
      <w:r>
        <w:rPr>
          <w:rFonts w:ascii="游ゴシック" w:hAnsi="游ゴシック"/>
          <w:sz w:val="20"/>
        </w:rPr>
        <w:t>・AIデータセンター需要という成長ドライバー。生成AIの普及に伴うデータトラフィック急増が、データセンター間接続（DCI）向け光ネットワーク需要を押し上げる構造的追い風。クラウド大手による設備投資拡大が中長期の受注拡大を後押しする見通し。直近の利益率は7.87%と改善余地を残すものの、高付加価値製品への転換による収益性向上への期待。</w:t>
      </w:r>
    </w:p>
    <w:p>
      <w:pPr>
        <w:spacing w:after="40"/>
      </w:pPr>
      <w:r>
        <w:rPr>
          <w:rFonts w:ascii="游ゴシック" w:hAnsi="游ゴシック"/>
          <w:sz w:val="20"/>
        </w:rPr>
        <w:t>・収益性指標と財務基盤。ROEは15.65%、ROAは7.26%と、資本効率は通信機器業界内で相応の水準。時価総額59億ドルの中堅規模ながら、通信インフラの世代交代を担う安定した顧客基盤が強み。設備投資サイクルに左右されやすい事業特性を踏まえ、受注動向のモニタリングが重要な着眼点。</w:t>
      </w:r>
    </w:p>
    <w:p>
      <w:pPr>
        <w:spacing w:after="40"/>
      </w:pPr>
      <w:r>
        <w:rPr>
          <w:rFonts w:ascii="游ゴシック" w:hAnsi="游ゴシック"/>
          <w:sz w:val="20"/>
        </w:rPr>
        <w:t>・バリュエーション面での留意点。予想PER（Non-GAAPベース）は43.46倍と、市場平均を大きく上回る割高感。AI関連の成長期待が株価に相当程度織り込まれている状況であり、今後の業績が高い期待に応えられるかが株価維持の鍵。成長ストーリーの持続性と実績の裏付けを見極めた慎重な投資判断が必要な局面。</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59億＄</w:t>
            </w:r>
          </w:p>
        </w:tc>
        <w:tc>
          <w:tcPr>
            <w:tcW w:type="dxa" w:w="2126"/>
            <w:vAlign w:val="center"/>
          </w:tcPr>
          <w:p>
            <w:pPr>
              <w:spacing w:before="0" w:after="0"/>
              <w:jc w:val="center"/>
            </w:pPr>
            <w:r>
              <w:rPr>
                <w:rFonts w:ascii="游ゴシック" w:hAnsi="游ゴシック"/>
                <w:sz w:val="18"/>
              </w:rPr>
              <w:t>ROE: 15.65%</w:t>
            </w:r>
          </w:p>
        </w:tc>
        <w:tc>
          <w:tcPr>
            <w:tcW w:type="dxa" w:w="2126"/>
            <w:vAlign w:val="center"/>
          </w:tcPr>
          <w:p>
            <w:pPr>
              <w:spacing w:before="0" w:after="0"/>
              <w:jc w:val="center"/>
            </w:pPr>
            <w:r>
              <w:rPr>
                <w:rFonts w:ascii="游ゴシック" w:hAnsi="游ゴシック"/>
                <w:sz w:val="18"/>
              </w:rPr>
              <w:t>ROA: 7.26%</w:t>
            </w:r>
          </w:p>
        </w:tc>
        <w:tc>
          <w:tcPr>
            <w:tcW w:type="dxa" w:w="2126"/>
            <w:vAlign w:val="center"/>
          </w:tcPr>
          <w:p>
            <w:pPr>
              <w:spacing w:before="0" w:after="0"/>
              <w:jc w:val="center"/>
            </w:pPr>
            <w:r>
              <w:rPr>
                <w:rFonts w:ascii="游ゴシック" w:hAnsi="游ゴシック"/>
                <w:sz w:val="18"/>
              </w:rPr>
              <w:t>PER: 43.46倍</w:t>
            </w:r>
          </w:p>
        </w:tc>
      </w:tr>
    </w:tbl>
    <w:p>
      <w:pPr>
        <w:jc w:val="center"/>
      </w:pPr>
      <w:r>
        <w:drawing>
          <wp:inline xmlns:a="http://schemas.openxmlformats.org/drawingml/2006/main" xmlns:pic="http://schemas.openxmlformats.org/drawingml/2006/picture">
            <wp:extent cx="5486400" cy="2805388"/>
            <wp:docPr id="8" name="Picture 8"/>
            <wp:cNvGraphicFramePr>
              <a:graphicFrameLocks noChangeAspect="1"/>
            </wp:cNvGraphicFramePr>
            <a:graphic>
              <a:graphicData uri="http://schemas.openxmlformats.org/drawingml/2006/picture">
                <pic:pic>
                  <pic:nvPicPr>
                    <pic:cNvPr id="0" name="chart_CIEN.png"/>
                    <pic:cNvPicPr/>
                  </pic:nvPicPr>
                  <pic:blipFill>
                    <a:blip r:embed="rId19"/>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⑨ クレド・テクノロジー（CRDO）</w:t>
      </w:r>
    </w:p>
    <w:p>
      <w:pPr>
        <w:spacing w:after="40"/>
      </w:pPr>
      <w:r>
        <w:rPr>
          <w:rFonts w:ascii="游ゴシック" w:hAnsi="游ゴシック"/>
          <w:sz w:val="20"/>
        </w:rPr>
        <w:t>・独自のSerDes（シリアライザ/デシリアライザ）技術を核に、AEC（アクティブ電気ケーブル）や光・電気イーサネット向けICを展開する高速接続ソリューションの専業メーカー。データセンター内の高速データ伝送における低消費電力・高信頼性を武器とし、大手ハイパースケーラーからの採用拡大が進む独自ポジション。直近の利益率35.37%は同業を大きく上回る高水準の収益性</w:t>
      </w:r>
    </w:p>
    <w:p>
      <w:pPr>
        <w:spacing w:after="40"/>
      </w:pPr>
      <w:r>
        <w:rPr>
          <w:rFonts w:ascii="游ゴシック" w:hAnsi="游ゴシック"/>
          <w:sz w:val="20"/>
        </w:rPr>
        <w:t>・生成AI・大規模データセンター投資の加速が最大の成長ドライバーであり、AIサーバー間接続需要の拡大がAEC市場を牽引。2025会計年度のROEは31.59%、ROAは20.57%と資本効率の高さが際立ち、高付加価値製品への集中戦略が奏功。ハイパースケーラーのCAPEX拡大局面における中長期的な受注拡大余地</w:t>
      </w:r>
    </w:p>
    <w:p>
      <w:pPr>
        <w:spacing w:after="40"/>
      </w:pPr>
      <w:r>
        <w:rPr>
          <w:rFonts w:ascii="游ゴシック" w:hAnsi="游ゴシック"/>
          <w:sz w:val="20"/>
        </w:rPr>
        <w:t>・予想PER（Non-GAAPベース）は27.65倍と、高成長半導体銘柄としては相応の水準であり、AI関連の成長期待を織り込んだバリュエーション。時価総額46億ドルと中型株ゆえの株価変動リスクは残るものの、収益性と成長性の両立を評価。特定顧客への売上依存度や競合激化が今後の注視ポイント</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46億＄</w:t>
            </w:r>
          </w:p>
        </w:tc>
        <w:tc>
          <w:tcPr>
            <w:tcW w:type="dxa" w:w="2126"/>
            <w:vAlign w:val="center"/>
          </w:tcPr>
          <w:p>
            <w:pPr>
              <w:spacing w:before="0" w:after="0"/>
              <w:jc w:val="center"/>
            </w:pPr>
            <w:r>
              <w:rPr>
                <w:rFonts w:ascii="游ゴシック" w:hAnsi="游ゴシック"/>
                <w:sz w:val="18"/>
              </w:rPr>
              <w:t>ROE: 31.59%</w:t>
            </w:r>
          </w:p>
        </w:tc>
        <w:tc>
          <w:tcPr>
            <w:tcW w:type="dxa" w:w="2126"/>
            <w:vAlign w:val="center"/>
          </w:tcPr>
          <w:p>
            <w:pPr>
              <w:spacing w:before="0" w:after="0"/>
              <w:jc w:val="center"/>
            </w:pPr>
            <w:r>
              <w:rPr>
                <w:rFonts w:ascii="游ゴシック" w:hAnsi="游ゴシック"/>
                <w:sz w:val="18"/>
              </w:rPr>
              <w:t>ROA: 20.57%</w:t>
            </w:r>
          </w:p>
        </w:tc>
        <w:tc>
          <w:tcPr>
            <w:tcW w:type="dxa" w:w="2126"/>
            <w:vAlign w:val="center"/>
          </w:tcPr>
          <w:p>
            <w:pPr>
              <w:spacing w:before="0" w:after="0"/>
              <w:jc w:val="center"/>
            </w:pPr>
            <w:r>
              <w:rPr>
                <w:rFonts w:ascii="游ゴシック" w:hAnsi="游ゴシック"/>
                <w:sz w:val="18"/>
              </w:rPr>
              <w:t>PER: 27.65倍</w:t>
            </w:r>
          </w:p>
        </w:tc>
      </w:tr>
    </w:tbl>
    <w:p>
      <w:pPr>
        <w:jc w:val="center"/>
      </w:pPr>
      <w:r>
        <w:drawing>
          <wp:inline xmlns:a="http://schemas.openxmlformats.org/drawingml/2006/main" xmlns:pic="http://schemas.openxmlformats.org/drawingml/2006/picture">
            <wp:extent cx="5486400" cy="2805388"/>
            <wp:docPr id="9" name="Picture 9"/>
            <wp:cNvGraphicFramePr>
              <a:graphicFrameLocks noChangeAspect="1"/>
            </wp:cNvGraphicFramePr>
            <a:graphic>
              <a:graphicData uri="http://schemas.openxmlformats.org/drawingml/2006/picture">
                <pic:pic>
                  <pic:nvPicPr>
                    <pic:cNvPr id="0" name="chart_CRDO.png"/>
                    <pic:cNvPicPr/>
                  </pic:nvPicPr>
                  <pic:blipFill>
                    <a:blip r:embed="rId20"/>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⑩ オートデスク（ADSK）</w:t>
      </w:r>
    </w:p>
    <w:p>
      <w:pPr>
        <w:spacing w:after="40"/>
      </w:pPr>
      <w:r>
        <w:rPr>
          <w:rFonts w:ascii="游ゴシック" w:hAnsi="游ゴシック"/>
          <w:sz w:val="20"/>
        </w:rPr>
        <w:t>・AutoCADやRevit、Civil 3Dを中核とする3D設計ソフトの世界的デファクトスタンダードとしての圧倒的地位。建築・土木・製造・エンタメ分野で数十年にわたり蓄積された顧客基盤と高いスイッチングコストが参入障壁。サブスクリプション移行完了に伴う高い収益可視性と、直近12カ月ベースで約49%のROEに象徴される卓越した資本効率性。</w:t>
      </w:r>
    </w:p>
    <w:p>
      <w:pPr>
        <w:spacing w:after="40"/>
      </w:pPr>
      <w:r>
        <w:rPr>
          <w:rFonts w:ascii="游ゴシック" w:hAnsi="游ゴシック"/>
          <w:sz w:val="20"/>
        </w:rPr>
        <w:t>・成長ドライバーは建設分野向けクラウド基盤BIM 360やConstruction Cloudの拡大、およびAI機能を組み込んだ設計自動化プラットフォームへの進化。世界的なインフラ投資拡大とデジタルツイン需要の追い風。純利益率19.49%と高水準の収益性を背景に、フリーキャッシュフロー創出力の強さ。</w:t>
      </w:r>
    </w:p>
    <w:p>
      <w:pPr>
        <w:spacing w:after="40"/>
      </w:pPr>
      <w:r>
        <w:rPr>
          <w:rFonts w:ascii="游ゴシック" w:hAnsi="游ゴシック"/>
          <w:sz w:val="20"/>
        </w:rPr>
        <w:t>・バリュエーション面ではNon-GAAPベースの予想PER14.89倍と、SaaS大手としては相対的に割安な水準。安定的なサブスク売上と高収益性を勘案すれば、株価下落局面での投資妙味。ROA12.26%と資産効率も良好で、中長期での再評価余地。</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45億＄</w:t>
            </w:r>
          </w:p>
        </w:tc>
        <w:tc>
          <w:tcPr>
            <w:tcW w:type="dxa" w:w="2126"/>
            <w:vAlign w:val="center"/>
          </w:tcPr>
          <w:p>
            <w:pPr>
              <w:spacing w:before="0" w:after="0"/>
              <w:jc w:val="center"/>
            </w:pPr>
            <w:r>
              <w:rPr>
                <w:rFonts w:ascii="游ゴシック" w:hAnsi="游ゴシック"/>
                <w:sz w:val="18"/>
              </w:rPr>
              <w:t>ROE: 49.42%</w:t>
            </w:r>
          </w:p>
        </w:tc>
        <w:tc>
          <w:tcPr>
            <w:tcW w:type="dxa" w:w="2126"/>
            <w:vAlign w:val="center"/>
          </w:tcPr>
          <w:p>
            <w:pPr>
              <w:spacing w:before="0" w:after="0"/>
              <w:jc w:val="center"/>
            </w:pPr>
            <w:r>
              <w:rPr>
                <w:rFonts w:ascii="游ゴシック" w:hAnsi="游ゴシック"/>
                <w:sz w:val="18"/>
              </w:rPr>
              <w:t>ROA: 12.26%</w:t>
            </w:r>
          </w:p>
        </w:tc>
        <w:tc>
          <w:tcPr>
            <w:tcW w:type="dxa" w:w="2126"/>
            <w:vAlign w:val="center"/>
          </w:tcPr>
          <w:p>
            <w:pPr>
              <w:spacing w:before="0" w:after="0"/>
              <w:jc w:val="center"/>
            </w:pPr>
            <w:r>
              <w:rPr>
                <w:rFonts w:ascii="游ゴシック" w:hAnsi="游ゴシック"/>
                <w:sz w:val="18"/>
              </w:rPr>
              <w:t>PER: 14.89倍</w:t>
            </w:r>
          </w:p>
        </w:tc>
      </w:tr>
    </w:tbl>
    <w:p>
      <w:pPr>
        <w:jc w:val="center"/>
      </w:pPr>
      <w:r>
        <w:drawing>
          <wp:inline xmlns:a="http://schemas.openxmlformats.org/drawingml/2006/main" xmlns:pic="http://schemas.openxmlformats.org/drawingml/2006/picture">
            <wp:extent cx="5486400" cy="2805388"/>
            <wp:docPr id="10" name="Picture 10"/>
            <wp:cNvGraphicFramePr>
              <a:graphicFrameLocks noChangeAspect="1"/>
            </wp:cNvGraphicFramePr>
            <a:graphic>
              <a:graphicData uri="http://schemas.openxmlformats.org/drawingml/2006/picture">
                <pic:pic>
                  <pic:nvPicPr>
                    <pic:cNvPr id="0" name="chart_ADSK.png"/>
                    <pic:cNvPicPr/>
                  </pic:nvPicPr>
                  <pic:blipFill>
                    <a:blip r:embed="rId21"/>
                    <a:stretch>
                      <a:fillRect/>
                    </a:stretch>
                  </pic:blipFill>
                  <pic:spPr>
                    <a:xfrm>
                      <a:off x="0" y="0"/>
                      <a:ext cx="5486400" cy="2805388"/>
                    </a:xfrm>
                    <a:prstGeom prst="rect"/>
                  </pic:spPr>
                </pic:pic>
              </a:graphicData>
            </a:graphic>
          </wp:inline>
        </w:drawing>
      </w:r>
    </w:p>
    <w:p>
      <w:pPr>
        <w:spacing w:before="0" w:after="0"/>
      </w:pPr>
      <w:r>
        <w:rPr>
          <w:sz w:val="2"/>
        </w:rPr>
        <w:br w:type="page"/>
      </w:r>
    </w:p>
    <w:p>
      <w:pPr>
        <w:spacing w:after="160"/>
        <w:jc w:val="center"/>
      </w:pPr>
      <w:r>
        <w:rPr>
          <w:rFonts w:ascii="游ゴシック" w:hAnsi="游ゴシック"/>
          <w:b/>
          <w:sz w:val="24"/>
        </w:rPr>
        <w:t>ご参考</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3685"/>
            <w:vAlign w:val="center"/>
            <w:shd w:val="clear" w:color="auto" w:fill="D9E2F3"/>
          </w:tcPr>
          <w:p>
            <w:pPr>
              <w:spacing w:before="40" w:after="40"/>
              <w:jc w:val="center"/>
            </w:pPr>
            <w:r>
              <w:rPr>
                <w:rFonts w:ascii="游ゴシック" w:hAnsi="游ゴシック"/>
                <w:b/>
                <w:sz w:val="20"/>
              </w:rPr>
            </w:r>
          </w:p>
        </w:tc>
        <w:tc>
          <w:tcPr>
            <w:tcW w:type="dxa" w:w="1134"/>
            <w:vAlign w:val="center"/>
            <w:shd w:val="clear" w:color="auto" w:fill="D9E2F3"/>
          </w:tcPr>
          <w:p>
            <w:pPr>
              <w:spacing w:before="40" w:after="40"/>
              <w:jc w:val="center"/>
            </w:pPr>
            <w:r>
              <w:rPr>
                <w:rFonts w:ascii="游ゴシック" w:hAnsi="游ゴシック"/>
                <w:b/>
                <w:sz w:val="20"/>
              </w:rPr>
              <w:t>ROE</w:t>
            </w:r>
          </w:p>
        </w:tc>
        <w:tc>
          <w:tcPr>
            <w:tcW w:type="dxa" w:w="1134"/>
            <w:vAlign w:val="center"/>
            <w:shd w:val="clear" w:color="auto" w:fill="D9E2F3"/>
          </w:tcPr>
          <w:p>
            <w:pPr>
              <w:spacing w:before="40" w:after="40"/>
              <w:jc w:val="center"/>
            </w:pPr>
            <w:r>
              <w:rPr>
                <w:rFonts w:ascii="游ゴシック" w:hAnsi="游ゴシック"/>
                <w:b/>
                <w:sz w:val="20"/>
              </w:rPr>
              <w:t>ROA</w:t>
            </w:r>
          </w:p>
        </w:tc>
        <w:tc>
          <w:tcPr>
            <w:tcW w:type="dxa" w:w="1134"/>
            <w:vAlign w:val="center"/>
            <w:shd w:val="clear" w:color="auto" w:fill="D9E2F3"/>
          </w:tcPr>
          <w:p>
            <w:pPr>
              <w:spacing w:before="40" w:after="40"/>
              <w:jc w:val="center"/>
            </w:pPr>
            <w:r>
              <w:rPr>
                <w:rFonts w:ascii="游ゴシック" w:hAnsi="游ゴシック"/>
                <w:b/>
                <w:sz w:val="20"/>
              </w:rPr>
              <w:t>PER</w:t>
            </w:r>
          </w:p>
        </w:tc>
      </w:tr>
      <w:tr>
        <w:tc>
          <w:tcPr>
            <w:tcW w:type="dxa" w:w="3685"/>
            <w:vAlign w:val="center"/>
          </w:tcPr>
          <w:p>
            <w:pPr>
              <w:spacing w:before="40" w:after="40"/>
              <w:jc w:val="center"/>
            </w:pPr>
            <w:r>
              <w:rPr>
                <w:rFonts w:ascii="游ゴシック" w:hAnsi="游ゴシック"/>
                <w:b/>
                <w:sz w:val="20"/>
              </w:rPr>
              <w:t>上場企業平均（日本）</w:t>
            </w:r>
          </w:p>
        </w:tc>
        <w:tc>
          <w:tcPr>
            <w:tcW w:type="dxa" w:w="1134"/>
            <w:vAlign w:val="center"/>
          </w:tcPr>
          <w:p>
            <w:pPr>
              <w:spacing w:before="40" w:after="40"/>
              <w:jc w:val="center"/>
            </w:pPr>
            <w:r>
              <w:rPr>
                <w:rFonts w:ascii="游ゴシック" w:hAnsi="游ゴシック"/>
                <w:sz w:val="20"/>
              </w:rPr>
              <w:t>9.4%</w:t>
            </w:r>
          </w:p>
        </w:tc>
        <w:tc>
          <w:tcPr>
            <w:tcW w:type="dxa" w:w="1134"/>
            <w:vAlign w:val="center"/>
          </w:tcPr>
          <w:p>
            <w:pPr>
              <w:spacing w:before="40" w:after="40"/>
              <w:jc w:val="center"/>
            </w:pPr>
            <w:r>
              <w:rPr>
                <w:rFonts w:ascii="游ゴシック" w:hAnsi="游ゴシック"/>
                <w:sz w:val="20"/>
              </w:rPr>
              <w:t>4〜5%</w:t>
            </w:r>
          </w:p>
        </w:tc>
        <w:tc>
          <w:tcPr>
            <w:tcW w:type="dxa" w:w="1134"/>
            <w:vAlign w:val="center"/>
          </w:tcPr>
          <w:p>
            <w:pPr>
              <w:spacing w:before="40" w:after="40"/>
              <w:jc w:val="center"/>
            </w:pPr>
            <w:r>
              <w:rPr>
                <w:rFonts w:ascii="游ゴシック" w:hAnsi="游ゴシック"/>
                <w:sz w:val="20"/>
              </w:rPr>
              <w:t>18.24倍</w:t>
            </w:r>
          </w:p>
        </w:tc>
      </w:tr>
      <w:tr>
        <w:tc>
          <w:tcPr>
            <w:tcW w:type="dxa" w:w="3685"/>
            <w:vAlign w:val="center"/>
          </w:tcPr>
          <w:p>
            <w:pPr>
              <w:spacing w:before="40" w:after="40"/>
              <w:jc w:val="center"/>
            </w:pPr>
            <w:r>
              <w:rPr>
                <w:rFonts w:ascii="游ゴシック" w:hAnsi="游ゴシック"/>
                <w:b/>
                <w:sz w:val="20"/>
              </w:rPr>
              <w:t>上場企業平均（米国）</w:t>
            </w:r>
          </w:p>
        </w:tc>
        <w:tc>
          <w:tcPr>
            <w:tcW w:type="dxa" w:w="1134"/>
            <w:vAlign w:val="center"/>
          </w:tcPr>
          <w:p>
            <w:pPr>
              <w:spacing w:before="40" w:after="40"/>
              <w:jc w:val="center"/>
            </w:pPr>
            <w:r>
              <w:rPr>
                <w:rFonts w:ascii="游ゴシック" w:hAnsi="游ゴシック"/>
                <w:sz w:val="20"/>
              </w:rPr>
              <w:t>20.9%</w:t>
            </w:r>
          </w:p>
        </w:tc>
        <w:tc>
          <w:tcPr>
            <w:tcW w:type="dxa" w:w="1134"/>
            <w:vAlign w:val="center"/>
          </w:tcPr>
          <w:p>
            <w:pPr>
              <w:spacing w:before="40" w:after="40"/>
              <w:jc w:val="center"/>
            </w:pPr>
            <w:r>
              <w:rPr>
                <w:rFonts w:ascii="游ゴシック" w:hAnsi="游ゴシック"/>
                <w:sz w:val="20"/>
              </w:rPr>
              <w:t>6〜8%</w:t>
            </w:r>
          </w:p>
        </w:tc>
        <w:tc>
          <w:tcPr>
            <w:tcW w:type="dxa" w:w="1134"/>
            <w:vAlign w:val="center"/>
          </w:tcPr>
          <w:p>
            <w:pPr>
              <w:spacing w:before="40" w:after="40"/>
              <w:jc w:val="center"/>
            </w:pPr>
            <w:r>
              <w:rPr>
                <w:rFonts w:ascii="游ゴシック" w:hAnsi="游ゴシック"/>
                <w:sz w:val="20"/>
              </w:rPr>
              <w:t>24.33倍</w:t>
            </w:r>
          </w:p>
        </w:tc>
      </w:tr>
      <w:tr>
        <w:tc>
          <w:tcPr>
            <w:tcW w:type="dxa" w:w="3685"/>
            <w:vAlign w:val="center"/>
          </w:tcPr>
          <w:p>
            <w:pPr>
              <w:spacing w:before="40" w:after="40"/>
              <w:jc w:val="center"/>
            </w:pPr>
            <w:r>
              <w:rPr>
                <w:rFonts w:ascii="游ゴシック" w:hAnsi="游ゴシック"/>
                <w:b/>
                <w:sz w:val="20"/>
              </w:rPr>
              <w:t>トヨタ自動車（株）</w:t>
            </w:r>
          </w:p>
        </w:tc>
        <w:tc>
          <w:tcPr>
            <w:tcW w:type="dxa" w:w="1134"/>
            <w:vAlign w:val="center"/>
          </w:tcPr>
          <w:p>
            <w:pPr>
              <w:spacing w:before="40" w:after="40"/>
              <w:jc w:val="center"/>
            </w:pPr>
            <w:r>
              <w:rPr>
                <w:rFonts w:ascii="游ゴシック" w:hAnsi="游ゴシック"/>
                <w:sz w:val="20"/>
              </w:rPr>
              <w:t>13.59%</w:t>
            </w:r>
          </w:p>
        </w:tc>
        <w:tc>
          <w:tcPr>
            <w:tcW w:type="dxa" w:w="1134"/>
            <w:vAlign w:val="center"/>
          </w:tcPr>
          <w:p>
            <w:pPr>
              <w:spacing w:before="40" w:after="40"/>
              <w:jc w:val="center"/>
            </w:pPr>
            <w:r>
              <w:rPr>
                <w:rFonts w:ascii="游ゴシック" w:hAnsi="游ゴシック"/>
                <w:sz w:val="20"/>
              </w:rPr>
              <w:t>5.09%</w:t>
            </w:r>
          </w:p>
        </w:tc>
        <w:tc>
          <w:tcPr>
            <w:tcW w:type="dxa" w:w="1134"/>
            <w:vAlign w:val="center"/>
          </w:tcPr>
          <w:p>
            <w:pPr>
              <w:spacing w:before="40" w:after="40"/>
              <w:jc w:val="center"/>
            </w:pPr>
            <w:r>
              <w:rPr>
                <w:rFonts w:ascii="游ゴシック" w:hAnsi="游ゴシック"/>
                <w:sz w:val="20"/>
              </w:rPr>
              <w:t>12.71倍</w:t>
            </w:r>
          </w:p>
        </w:tc>
      </w:tr>
    </w:tbl>
    <w:p>
      <w:pPr>
        <w:spacing w:after="160"/>
      </w:pPr>
      <w:r>
        <w:rPr>
          <w:rFonts w:ascii="游ゴシック" w:hAnsi="游ゴシック"/>
          <w:b w:val="0"/>
          <w:sz w:val="20"/>
        </w:rPr>
      </w:r>
    </w:p>
    <w:p>
      <w:pPr>
        <w:spacing w:after="80"/>
      </w:pPr>
      <w:r>
        <w:rPr>
          <w:rFonts w:ascii="游ゴシック" w:hAnsi="游ゴシック"/>
          <w:b/>
          <w:sz w:val="20"/>
        </w:rPr>
        <w:t>マーケットデータ</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2268"/>
            <w:vAlign w:val="center"/>
            <w:shd w:val="clear" w:color="auto" w:fill="D9E2F3"/>
          </w:tcPr>
          <w:p>
            <w:pPr>
              <w:spacing w:before="40" w:after="40"/>
              <w:jc w:val="center"/>
            </w:pPr>
            <w:r>
              <w:rPr>
                <w:rFonts w:ascii="游ゴシック" w:hAnsi="游ゴシック"/>
                <w:b/>
                <w:sz w:val="20"/>
              </w:rPr>
              <w:t>指標</w:t>
            </w:r>
          </w:p>
        </w:tc>
        <w:tc>
          <w:tcPr>
            <w:tcW w:type="dxa" w:w="1984"/>
            <w:vAlign w:val="center"/>
            <w:shd w:val="clear" w:color="auto" w:fill="D9E2F3"/>
          </w:tcPr>
          <w:p>
            <w:pPr>
              <w:spacing w:before="40" w:after="40"/>
              <w:jc w:val="center"/>
            </w:pPr>
            <w:r>
              <w:rPr>
                <w:rFonts w:ascii="游ゴシック" w:hAnsi="游ゴシック"/>
                <w:b/>
                <w:sz w:val="20"/>
              </w:rPr>
              <w:t>前日終値</w:t>
            </w:r>
          </w:p>
        </w:tc>
        <w:tc>
          <w:tcPr>
            <w:tcW w:type="dxa" w:w="2834"/>
            <w:gridSpan w:val="2"/>
            <w:vAlign w:val="center"/>
            <w:shd w:val="clear" w:color="auto" w:fill="D9E2F3"/>
            <w:shd w:val="clear" w:color="auto" w:fill="D9E2F3"/>
          </w:tcPr>
          <w:p>
            <w:pPr>
              <w:spacing w:before="40" w:after="40"/>
              <w:jc w:val="center"/>
            </w:pPr>
            <w:r>
              <w:rPr>
                <w:rFonts w:ascii="游ゴシック" w:hAnsi="游ゴシック"/>
                <w:b/>
                <w:sz w:val="20"/>
              </w:rPr>
              <w:t>25年末比</w:t>
            </w:r>
          </w:p>
        </w:tc>
      </w:tr>
      <w:tr>
        <w:tc>
          <w:tcPr>
            <w:tcW w:type="dxa" w:w="2268"/>
            <w:vAlign w:val="center"/>
          </w:tcPr>
          <w:p>
            <w:pPr>
              <w:spacing w:before="20" w:after="20"/>
              <w:jc w:val="center"/>
            </w:pPr>
            <w:r>
              <w:rPr>
                <w:rFonts w:ascii="游ゴシック" w:hAnsi="游ゴシック"/>
                <w:b/>
                <w:sz w:val="20"/>
              </w:rPr>
              <w:t>日経平均株価</w:t>
            </w:r>
          </w:p>
        </w:tc>
        <w:tc>
          <w:tcPr>
            <w:tcW w:type="dxa" w:w="1984"/>
            <w:vAlign w:val="center"/>
          </w:tcPr>
          <w:p>
            <w:pPr>
              <w:spacing w:before="20" w:after="20"/>
              <w:jc w:val="right"/>
            </w:pPr>
            <w:r>
              <w:rPr>
                <w:rFonts w:ascii="游ゴシック" w:hAnsi="游ゴシック"/>
                <w:sz w:val="20"/>
              </w:rPr>
              <w:t>67,364.46 円</w:t>
            </w:r>
          </w:p>
        </w:tc>
        <w:tc>
          <w:tcPr>
            <w:tcW w:type="dxa" w:w="1417"/>
            <w:vAlign w:val="center"/>
          </w:tcPr>
          <w:p>
            <w:pPr>
              <w:spacing w:before="20" w:after="20"/>
              <w:jc w:val="right"/>
            </w:pPr>
            <w:r>
              <w:rPr>
                <w:rFonts w:ascii="游ゴシック" w:hAnsi="游ゴシック"/>
                <w:sz w:val="20"/>
              </w:rPr>
              <w:t>+17,024.98</w:t>
            </w:r>
          </w:p>
        </w:tc>
        <w:tc>
          <w:tcPr>
            <w:tcW w:type="dxa" w:w="1417"/>
            <w:vAlign w:val="center"/>
          </w:tcPr>
          <w:p>
            <w:pPr>
              <w:spacing w:before="20" w:after="20"/>
              <w:jc w:val="right"/>
            </w:pPr>
            <w:r>
              <w:rPr>
                <w:rFonts w:ascii="游ゴシック" w:hAnsi="游ゴシック"/>
                <w:sz w:val="20"/>
              </w:rPr>
              <w:t>+33.82%</w:t>
            </w:r>
          </w:p>
        </w:tc>
      </w:tr>
      <w:tr>
        <w:tc>
          <w:tcPr>
            <w:tcW w:type="dxa" w:w="2268"/>
            <w:vAlign w:val="center"/>
          </w:tcPr>
          <w:p>
            <w:pPr>
              <w:spacing w:before="20" w:after="20"/>
              <w:jc w:val="center"/>
            </w:pPr>
            <w:r>
              <w:rPr>
                <w:rFonts w:ascii="游ゴシック" w:hAnsi="游ゴシック"/>
                <w:b/>
                <w:sz w:val="20"/>
              </w:rPr>
              <w:t>TOPIX</w:t>
            </w:r>
          </w:p>
        </w:tc>
        <w:tc>
          <w:tcPr>
            <w:tcW w:type="dxa" w:w="1984"/>
            <w:vAlign w:val="center"/>
          </w:tcPr>
          <w:p>
            <w:pPr>
              <w:spacing w:before="20" w:after="20"/>
              <w:jc w:val="right"/>
            </w:pPr>
            <w:r>
              <w:rPr>
                <w:rFonts w:ascii="游ゴシック" w:hAnsi="游ゴシック"/>
                <w:sz w:val="20"/>
              </w:rPr>
              <w:t>427.90 pt</w:t>
            </w:r>
          </w:p>
        </w:tc>
        <w:tc>
          <w:tcPr>
            <w:tcW w:type="dxa" w:w="1417"/>
            <w:vAlign w:val="center"/>
          </w:tcPr>
          <w:p>
            <w:pPr>
              <w:spacing w:before="20" w:after="20"/>
              <w:jc w:val="right"/>
            </w:pPr>
            <w:r>
              <w:rPr>
                <w:rFonts w:ascii="游ゴシック" w:hAnsi="游ゴシック"/>
                <w:color w:val="CC0000"/>
                <w:sz w:val="20"/>
              </w:rPr>
              <w:t>-2,981.07</w:t>
            </w:r>
          </w:p>
        </w:tc>
        <w:tc>
          <w:tcPr>
            <w:tcW w:type="dxa" w:w="1417"/>
            <w:vAlign w:val="center"/>
          </w:tcPr>
          <w:p>
            <w:pPr>
              <w:spacing w:before="20" w:after="20"/>
              <w:jc w:val="right"/>
            </w:pPr>
            <w:r>
              <w:rPr>
                <w:rFonts w:ascii="游ゴシック" w:hAnsi="游ゴシック"/>
                <w:color w:val="CC0000"/>
                <w:sz w:val="20"/>
              </w:rPr>
              <w:t>-87.45%</w:t>
            </w:r>
          </w:p>
        </w:tc>
      </w:tr>
      <w:tr>
        <w:tc>
          <w:tcPr>
            <w:tcW w:type="dxa" w:w="2268"/>
            <w:vAlign w:val="center"/>
          </w:tcPr>
          <w:p>
            <w:pPr>
              <w:spacing w:before="20" w:after="20"/>
              <w:jc w:val="center"/>
            </w:pPr>
            <w:r>
              <w:rPr>
                <w:rFonts w:ascii="游ゴシック" w:hAnsi="游ゴシック"/>
                <w:b/>
                <w:sz w:val="20"/>
              </w:rPr>
              <w:t>S&amp;P 500</w:t>
            </w:r>
          </w:p>
        </w:tc>
        <w:tc>
          <w:tcPr>
            <w:tcW w:type="dxa" w:w="1984"/>
            <w:vAlign w:val="center"/>
          </w:tcPr>
          <w:p>
            <w:pPr>
              <w:spacing w:before="20" w:after="20"/>
              <w:jc w:val="right"/>
            </w:pPr>
            <w:r>
              <w:rPr>
                <w:rFonts w:ascii="游ゴシック" w:hAnsi="游ゴシック"/>
                <w:sz w:val="20"/>
              </w:rPr>
              <w:t>7,537.43 pt</w:t>
            </w:r>
          </w:p>
        </w:tc>
        <w:tc>
          <w:tcPr>
            <w:tcW w:type="dxa" w:w="1417"/>
            <w:vAlign w:val="center"/>
          </w:tcPr>
          <w:p>
            <w:pPr>
              <w:spacing w:before="20" w:after="20"/>
              <w:jc w:val="right"/>
            </w:pPr>
            <w:r>
              <w:rPr>
                <w:rFonts w:ascii="游ゴシック" w:hAnsi="游ゴシック"/>
                <w:sz w:val="20"/>
              </w:rPr>
              <w:t>+691.93</w:t>
            </w:r>
          </w:p>
        </w:tc>
        <w:tc>
          <w:tcPr>
            <w:tcW w:type="dxa" w:w="1417"/>
            <w:vAlign w:val="center"/>
          </w:tcPr>
          <w:p>
            <w:pPr>
              <w:spacing w:before="20" w:after="20"/>
              <w:jc w:val="right"/>
            </w:pPr>
            <w:r>
              <w:rPr>
                <w:rFonts w:ascii="游ゴシック" w:hAnsi="游ゴシック"/>
                <w:sz w:val="20"/>
              </w:rPr>
              <w:t>+10.11%</w:t>
            </w:r>
          </w:p>
        </w:tc>
      </w:tr>
      <w:tr>
        <w:tc>
          <w:tcPr>
            <w:tcW w:type="dxa" w:w="2268"/>
            <w:vAlign w:val="center"/>
          </w:tcPr>
          <w:p>
            <w:pPr>
              <w:spacing w:before="20" w:after="20"/>
              <w:jc w:val="center"/>
            </w:pPr>
            <w:r>
              <w:rPr>
                <w:rFonts w:ascii="游ゴシック" w:hAnsi="游ゴシック"/>
                <w:b/>
                <w:sz w:val="20"/>
              </w:rPr>
              <w:t>NYダウ平均</w:t>
            </w:r>
          </w:p>
        </w:tc>
        <w:tc>
          <w:tcPr>
            <w:tcW w:type="dxa" w:w="1984"/>
            <w:vAlign w:val="center"/>
          </w:tcPr>
          <w:p>
            <w:pPr>
              <w:spacing w:before="20" w:after="20"/>
              <w:jc w:val="right"/>
            </w:pPr>
            <w:r>
              <w:rPr>
                <w:rFonts w:ascii="游ゴシック" w:hAnsi="游ゴシック"/>
                <w:sz w:val="20"/>
              </w:rPr>
              <w:t>53,055.91 $</w:t>
            </w:r>
          </w:p>
        </w:tc>
        <w:tc>
          <w:tcPr>
            <w:tcW w:type="dxa" w:w="1417"/>
            <w:vAlign w:val="center"/>
          </w:tcPr>
          <w:p>
            <w:pPr>
              <w:spacing w:before="20" w:after="20"/>
              <w:jc w:val="right"/>
            </w:pPr>
            <w:r>
              <w:rPr>
                <w:rFonts w:ascii="游ゴシック" w:hAnsi="游ゴシック"/>
                <w:sz w:val="20"/>
              </w:rPr>
              <w:t>+4,992.62</w:t>
            </w:r>
          </w:p>
        </w:tc>
        <w:tc>
          <w:tcPr>
            <w:tcW w:type="dxa" w:w="1417"/>
            <w:vAlign w:val="center"/>
          </w:tcPr>
          <w:p>
            <w:pPr>
              <w:spacing w:before="20" w:after="20"/>
              <w:jc w:val="right"/>
            </w:pPr>
            <w:r>
              <w:rPr>
                <w:rFonts w:ascii="游ゴシック" w:hAnsi="游ゴシック"/>
                <w:sz w:val="20"/>
              </w:rPr>
              <w:t>+10.39%</w:t>
            </w:r>
          </w:p>
        </w:tc>
      </w:tr>
      <w:tr>
        <w:tc>
          <w:tcPr>
            <w:tcW w:type="dxa" w:w="2268"/>
            <w:vAlign w:val="center"/>
          </w:tcPr>
          <w:p>
            <w:pPr>
              <w:spacing w:before="20" w:after="20"/>
              <w:jc w:val="center"/>
            </w:pPr>
            <w:r>
              <w:rPr>
                <w:rFonts w:ascii="游ゴシック" w:hAnsi="游ゴシック"/>
                <w:b/>
                <w:sz w:val="20"/>
              </w:rPr>
              <w:t>NASDAQ総合指数</w:t>
            </w:r>
          </w:p>
        </w:tc>
        <w:tc>
          <w:tcPr>
            <w:tcW w:type="dxa" w:w="1984"/>
            <w:vAlign w:val="center"/>
          </w:tcPr>
          <w:p>
            <w:pPr>
              <w:spacing w:before="20" w:after="20"/>
              <w:jc w:val="right"/>
            </w:pPr>
            <w:r>
              <w:rPr>
                <w:rFonts w:ascii="游ゴシック" w:hAnsi="游ゴシック"/>
                <w:sz w:val="20"/>
              </w:rPr>
              <w:t>26,121.16 pt</w:t>
            </w:r>
          </w:p>
        </w:tc>
        <w:tc>
          <w:tcPr>
            <w:tcW w:type="dxa" w:w="1417"/>
            <w:vAlign w:val="center"/>
          </w:tcPr>
          <w:p>
            <w:pPr>
              <w:spacing w:before="20" w:after="20"/>
              <w:jc w:val="right"/>
            </w:pPr>
            <w:r>
              <w:rPr>
                <w:rFonts w:ascii="游ゴシック" w:hAnsi="游ゴシック"/>
                <w:sz w:val="20"/>
              </w:rPr>
              <w:t>+2,879.17</w:t>
            </w:r>
          </w:p>
        </w:tc>
        <w:tc>
          <w:tcPr>
            <w:tcW w:type="dxa" w:w="1417"/>
            <w:vAlign w:val="center"/>
          </w:tcPr>
          <w:p>
            <w:pPr>
              <w:spacing w:before="20" w:after="20"/>
              <w:jc w:val="right"/>
            </w:pPr>
            <w:r>
              <w:rPr>
                <w:rFonts w:ascii="游ゴシック" w:hAnsi="游ゴシック"/>
                <w:sz w:val="20"/>
              </w:rPr>
              <w:t>+12.39%</w:t>
            </w:r>
          </w:p>
        </w:tc>
      </w:tr>
      <w:tr>
        <w:tc>
          <w:tcPr>
            <w:tcW w:type="dxa" w:w="2268"/>
            <w:vAlign w:val="center"/>
          </w:tcPr>
          <w:p>
            <w:pPr>
              <w:spacing w:before="20" w:after="20"/>
              <w:jc w:val="center"/>
            </w:pPr>
            <w:r>
              <w:rPr>
                <w:rFonts w:ascii="游ゴシック" w:hAnsi="游ゴシック"/>
                <w:b/>
                <w:sz w:val="20"/>
              </w:rPr>
              <w:t>米ドル/円</w:t>
            </w:r>
          </w:p>
        </w:tc>
        <w:tc>
          <w:tcPr>
            <w:tcW w:type="dxa" w:w="1984"/>
            <w:vAlign w:val="center"/>
          </w:tcPr>
          <w:p>
            <w:pPr>
              <w:spacing w:before="20" w:after="20"/>
              <w:jc w:val="right"/>
            </w:pPr>
            <w:r>
              <w:rPr>
                <w:rFonts w:ascii="游ゴシック" w:hAnsi="游ゴシック"/>
                <w:sz w:val="20"/>
              </w:rPr>
              <w:t>162.11 円</w:t>
            </w:r>
          </w:p>
        </w:tc>
        <w:tc>
          <w:tcPr>
            <w:tcW w:type="dxa" w:w="1417"/>
            <w:vAlign w:val="center"/>
          </w:tcPr>
          <w:p>
            <w:pPr>
              <w:spacing w:before="20" w:after="20"/>
              <w:jc w:val="right"/>
            </w:pPr>
            <w:r>
              <w:rPr>
                <w:rFonts w:ascii="游ゴシック" w:hAnsi="游ゴシック"/>
                <w:sz w:val="20"/>
              </w:rPr>
              <w:t>+5.70</w:t>
            </w:r>
          </w:p>
        </w:tc>
        <w:tc>
          <w:tcPr>
            <w:tcW w:type="dxa" w:w="1417"/>
            <w:vAlign w:val="center"/>
          </w:tcPr>
          <w:p>
            <w:pPr>
              <w:spacing w:before="20" w:after="20"/>
              <w:jc w:val="right"/>
            </w:pPr>
            <w:r>
              <w:rPr>
                <w:rFonts w:ascii="游ゴシック" w:hAnsi="游ゴシック"/>
                <w:sz w:val="20"/>
              </w:rPr>
              <w:t>+3.65%</w:t>
            </w:r>
          </w:p>
        </w:tc>
      </w:tr>
      <w:tr>
        <w:tc>
          <w:tcPr>
            <w:tcW w:type="dxa" w:w="2268"/>
            <w:vAlign w:val="center"/>
          </w:tcPr>
          <w:p>
            <w:pPr>
              <w:spacing w:before="20" w:after="20"/>
              <w:jc w:val="center"/>
            </w:pPr>
            <w:r>
              <w:rPr>
                <w:rFonts w:ascii="游ゴシック" w:hAnsi="游ゴシック"/>
                <w:b/>
                <w:sz w:val="20"/>
              </w:rPr>
              <w:t>ユーロ/円</w:t>
            </w:r>
          </w:p>
        </w:tc>
        <w:tc>
          <w:tcPr>
            <w:tcW w:type="dxa" w:w="1984"/>
            <w:vAlign w:val="center"/>
          </w:tcPr>
          <w:p>
            <w:pPr>
              <w:spacing w:before="20" w:after="20"/>
              <w:jc w:val="right"/>
            </w:pPr>
            <w:r>
              <w:rPr>
                <w:rFonts w:ascii="游ゴシック" w:hAnsi="游ゴシック"/>
                <w:sz w:val="20"/>
              </w:rPr>
              <w:t>184.87 円</w:t>
            </w:r>
          </w:p>
        </w:tc>
        <w:tc>
          <w:tcPr>
            <w:tcW w:type="dxa" w:w="1417"/>
            <w:vAlign w:val="center"/>
          </w:tcPr>
          <w:p>
            <w:pPr>
              <w:spacing w:before="20" w:after="20"/>
              <w:jc w:val="right"/>
            </w:pPr>
            <w:r>
              <w:rPr>
                <w:rFonts w:ascii="游ゴシック" w:hAnsi="游ゴシック"/>
                <w:sz w:val="20"/>
              </w:rPr>
              <w:t>+1.15</w:t>
            </w:r>
          </w:p>
        </w:tc>
        <w:tc>
          <w:tcPr>
            <w:tcW w:type="dxa" w:w="1417"/>
            <w:vAlign w:val="center"/>
          </w:tcPr>
          <w:p>
            <w:pPr>
              <w:spacing w:before="20" w:after="20"/>
              <w:jc w:val="right"/>
            </w:pPr>
            <w:r>
              <w:rPr>
                <w:rFonts w:ascii="游ゴシック" w:hAnsi="游ゴシック"/>
                <w:sz w:val="20"/>
              </w:rPr>
              <w:t>+0.63%</w:t>
            </w:r>
          </w:p>
        </w:tc>
      </w:tr>
    </w:tbl>
    <w:p>
      <w:pPr>
        <w:spacing w:after="80"/>
      </w:pPr>
      <w:r>
        <w:rPr>
          <w:rFonts w:ascii="游ゴシック" w:hAnsi="游ゴシック"/>
          <w:b w:val="0"/>
          <w:sz w:val="20"/>
        </w:rPr>
      </w:r>
    </w:p>
    <w:p>
      <w:pPr>
        <w:jc w:val="center"/>
      </w:pPr>
      <w:r>
        <w:drawing>
          <wp:inline xmlns:a="http://schemas.openxmlformats.org/drawingml/2006/main" xmlns:pic="http://schemas.openxmlformats.org/drawingml/2006/picture">
            <wp:extent cx="5486400" cy="1980437"/>
            <wp:docPr id="11" name="Picture 11"/>
            <wp:cNvGraphicFramePr>
              <a:graphicFrameLocks noChangeAspect="1"/>
            </wp:cNvGraphicFramePr>
            <a:graphic>
              <a:graphicData uri="http://schemas.openxmlformats.org/drawingml/2006/picture">
                <pic:pic>
                  <pic:nvPicPr>
                    <pic:cNvPr id="0" name="chart_index_comparison.png"/>
                    <pic:cNvPicPr/>
                  </pic:nvPicPr>
                  <pic:blipFill>
                    <a:blip r:embed="rId22"/>
                    <a:stretch>
                      <a:fillRect/>
                    </a:stretch>
                  </pic:blipFill>
                  <pic:spPr>
                    <a:xfrm>
                      <a:off x="0" y="0"/>
                      <a:ext cx="5486400" cy="1980437"/>
                    </a:xfrm>
                    <a:prstGeom prst="rect"/>
                  </pic:spPr>
                </pic:pic>
              </a:graphicData>
            </a:graphic>
          </wp:inline>
        </w:drawing>
      </w:r>
    </w:p>
    <w:sectPr w:rsidR="006C7ED7" w:rsidSect="000F4AFB">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D652" w14:textId="77777777" w:rsidR="00B340AB" w:rsidRDefault="00B340AB" w:rsidP="00C24EAA">
      <w:pPr>
        <w:spacing w:after="0" w:line="240" w:lineRule="auto"/>
      </w:pPr>
      <w:r>
        <w:separator/>
      </w:r>
    </w:p>
  </w:endnote>
  <w:endnote w:type="continuationSeparator" w:id="0">
    <w:p w14:paraId="4B0F36EB" w14:textId="77777777" w:rsidR="00B340AB" w:rsidRDefault="00B340AB" w:rsidP="00C2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9ECB" w14:textId="77777777" w:rsidR="00C24EAA" w:rsidRPr="00BD32E4" w:rsidRDefault="006C7ED7" w:rsidP="00397BA8">
    <w:pPr>
      <w:pStyle w:val="a5"/>
      <w:jc w:val="center"/>
      <w:rPr>
        <w:sz w:val="14"/>
        <w:szCs w:val="14"/>
      </w:rPr>
    </w:pPr>
    <w:r w:rsidRPr="0067552C">
      <w:rPr>
        <w:noProof/>
        <w:color w:val="040404"/>
      </w:rPr>
      <mc:AlternateContent>
        <mc:Choice Requires="wps">
          <w:drawing>
            <wp:anchor distT="0" distB="0" distL="114300" distR="114300" simplePos="0" relativeHeight="251351552" behindDoc="0" locked="0" layoutInCell="1" allowOverlap="1" wp14:anchorId="01D89B4A" wp14:editId="6DCA1B74">
              <wp:simplePos x="0" y="0"/>
              <wp:positionH relativeFrom="margin">
                <wp:align>right</wp:align>
              </wp:positionH>
              <wp:positionV relativeFrom="paragraph">
                <wp:posOffset>-174625</wp:posOffset>
              </wp:positionV>
              <wp:extent cx="5394960" cy="0"/>
              <wp:effectExtent l="0" t="0" r="0" b="0"/>
              <wp:wrapNone/>
              <wp:docPr id="598369455"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7C2FA768" id="直線コネクタ 19" o:spid="_x0000_s1026" style="position:absolute;z-index:25135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3.6pt,-13.75pt" to="798.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" strokecolor="#bfbfbf [2412]" strokeweight="1.5pt">
              <v:stroke joinstyle="miter"/>
              <w10:wrap anchorx="margin"/>
            </v:line>
          </w:pict>
        </mc:Fallback>
      </mc:AlternateContent>
    </w:r>
    <w:r w:rsidR="00575A26" w:rsidRPr="00575A26">
      <w:rPr>
        <w:noProof/>
        <w:color w:val="AEAAAA" w:themeColor="background2" w:themeShade="BF"/>
        <w:sz w:val="18"/>
        <w:szCs w:val="18"/>
      </w:rPr>
      <mc:AlternateContent>
        <mc:Choice Requires="wps">
          <w:drawing>
            <wp:anchor distT="0" distB="0" distL="114300" distR="114300" simplePos="0" relativeHeight="251287040" behindDoc="0" locked="0" layoutInCell="1" allowOverlap="1" wp14:anchorId="7D8C2C79" wp14:editId="05930E21">
              <wp:simplePos x="0" y="0"/>
              <wp:positionH relativeFrom="margin">
                <wp:posOffset>1880870</wp:posOffset>
              </wp:positionH>
              <wp:positionV relativeFrom="paragraph">
                <wp:posOffset>557530</wp:posOffset>
              </wp:positionV>
              <wp:extent cx="1639314" cy="241935"/>
              <wp:effectExtent l="0" t="0" r="0" b="5715"/>
              <wp:wrapNone/>
              <wp:docPr id="1433253820" name="テキスト ボックス 5"/>
              <wp:cNvGraphicFramePr/>
              <a:graphic xmlns:a="http://schemas.openxmlformats.org/drawingml/2006/main">
                <a:graphicData uri="http://schemas.microsoft.com/office/word/2010/wordprocessingShape">
                  <wps:wsp>
                    <wps:cNvSpPr txBox="1"/>
                    <wps:spPr>
                      <a:xfrm>
                        <a:off x="0" y="0"/>
                        <a:ext cx="1639314" cy="241935"/>
                      </a:xfrm>
                      <a:prstGeom prst="rect">
                        <a:avLst/>
                      </a:prstGeom>
                      <a:noFill/>
                      <a:ln w="6350">
                        <a:noFill/>
                      </a:ln>
                    </wps:spPr>
                    <wps:txb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C2C79" id="_x0000_t202" coordsize="21600,21600" o:spt="202" path="m,l,21600r21600,l21600,xe">
              <v:stroke joinstyle="miter"/>
              <v:path gradientshapeok="t" o:connecttype="rect"/>
            </v:shapetype>
            <v:shape id="テキスト ボックス 5" o:spid="_x0000_s1026" type="#_x0000_t202" style="position:absolute;left:0;text-align:left;margin-left:148.1pt;margin-top:43.9pt;width:129.1pt;height:19.05pt;z-index:25128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U3FwIAACw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" filled="f" stroked="f" strokeweight=".5pt">
              <v:textbo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v:textbox>
              <w10:wrap anchorx="margin"/>
            </v:shape>
          </w:pict>
        </mc:Fallback>
      </mc:AlternateContent>
    </w:r>
    <w:r w:rsidR="00171E69" w:rsidRPr="00575A26">
      <w:rPr>
        <w:noProof/>
        <w:color w:val="AEAAAA" w:themeColor="background2" w:themeShade="BF"/>
        <w:sz w:val="18"/>
        <w:szCs w:val="18"/>
      </w:rPr>
      <mc:AlternateContent>
        <mc:Choice Requires="wpg">
          <w:drawing>
            <wp:anchor distT="0" distB="0" distL="114300" distR="114300" simplePos="0" relativeHeight="251281920" behindDoc="0" locked="0" layoutInCell="1" allowOverlap="1" wp14:anchorId="7591B850" wp14:editId="7258DB55">
              <wp:simplePos x="0" y="0"/>
              <wp:positionH relativeFrom="margin">
                <wp:align>center</wp:align>
              </wp:positionH>
              <wp:positionV relativeFrom="paragraph">
                <wp:posOffset>313055</wp:posOffset>
              </wp:positionV>
              <wp:extent cx="696595" cy="165100"/>
              <wp:effectExtent l="0" t="0" r="8255" b="6350"/>
              <wp:wrapNone/>
              <wp:docPr id="55" name="グループ化 54">
                <a:extLst xmlns:a="http://schemas.openxmlformats.org/drawingml/2006/main">
                  <a:ext uri="{FF2B5EF4-FFF2-40B4-BE49-F238E27FC236}">
                    <a16:creationId xmlns:a16="http://schemas.microsoft.com/office/drawing/2014/main" id="{1C45C005-5FD6-7307-F69B-C7D0C04F488B}"/>
                  </a:ext>
                </a:extLst>
              </wp:docPr>
              <wp:cNvGraphicFramePr/>
              <a:graphic xmlns:a="http://schemas.openxmlformats.org/drawingml/2006/main">
                <a:graphicData uri="http://schemas.microsoft.com/office/word/2010/wordprocessingGroup">
                  <wpg:wgp>
                    <wpg:cNvGrpSpPr/>
                    <wpg:grpSpPr>
                      <a:xfrm>
                        <a:off x="0" y="0"/>
                        <a:ext cx="696595" cy="165100"/>
                        <a:chOff x="0" y="0"/>
                        <a:chExt cx="2759914" cy="660498"/>
                      </a:xfrm>
                    </wpg:grpSpPr>
                    <wps:wsp>
                      <wps:cNvPr id="952080342" name="object 11">
                        <a:extLst>
                          <a:ext uri="{FF2B5EF4-FFF2-40B4-BE49-F238E27FC236}">
                            <a16:creationId xmlns:a16="http://schemas.microsoft.com/office/drawing/2014/main" id="{B8DAAA05-9FF6-8958-41F5-A038A067EA57}"/>
                          </a:ext>
                        </a:extLst>
                      </wps:cNvPr>
                      <wps:cNvSpPr/>
                      <wps:spPr>
                        <a:xfrm>
                          <a:off x="3" y="188693"/>
                          <a:ext cx="660400" cy="471805"/>
                        </a:xfrm>
                        <a:custGeom>
                          <a:avLst/>
                          <a:gdLst/>
                          <a:ahLst/>
                          <a:cxnLst/>
                          <a:rect l="l" t="t" r="r" b="b"/>
                          <a:pathLst>
                            <a:path w="660400" h="471804">
                              <a:moveTo>
                                <a:pt x="257873" y="0"/>
                              </a:moveTo>
                              <a:lnTo>
                                <a:pt x="0" y="0"/>
                              </a:lnTo>
                              <a:lnTo>
                                <a:pt x="0" y="471716"/>
                              </a:lnTo>
                              <a:lnTo>
                                <a:pt x="128155" y="471716"/>
                              </a:lnTo>
                              <a:lnTo>
                                <a:pt x="128155" y="94195"/>
                              </a:lnTo>
                              <a:lnTo>
                                <a:pt x="128638" y="94195"/>
                              </a:lnTo>
                              <a:lnTo>
                                <a:pt x="134286" y="144694"/>
                              </a:lnTo>
                              <a:lnTo>
                                <a:pt x="145966" y="191374"/>
                              </a:lnTo>
                              <a:lnTo>
                                <a:pt x="163214" y="234127"/>
                              </a:lnTo>
                              <a:lnTo>
                                <a:pt x="185570" y="272842"/>
                              </a:lnTo>
                              <a:lnTo>
                                <a:pt x="212573" y="307412"/>
                              </a:lnTo>
                              <a:lnTo>
                                <a:pt x="243762" y="337726"/>
                              </a:lnTo>
                              <a:lnTo>
                                <a:pt x="278674" y="363676"/>
                              </a:lnTo>
                              <a:lnTo>
                                <a:pt x="316849" y="385152"/>
                              </a:lnTo>
                              <a:lnTo>
                                <a:pt x="357825" y="402046"/>
                              </a:lnTo>
                              <a:lnTo>
                                <a:pt x="401142" y="414249"/>
                              </a:lnTo>
                              <a:lnTo>
                                <a:pt x="446337" y="421650"/>
                              </a:lnTo>
                              <a:lnTo>
                                <a:pt x="492950" y="424141"/>
                              </a:lnTo>
                              <a:lnTo>
                                <a:pt x="660400" y="424154"/>
                              </a:lnTo>
                              <a:lnTo>
                                <a:pt x="660400" y="295998"/>
                              </a:lnTo>
                              <a:lnTo>
                                <a:pt x="511416" y="295998"/>
                              </a:lnTo>
                              <a:lnTo>
                                <a:pt x="453291" y="291945"/>
                              </a:lnTo>
                              <a:lnTo>
                                <a:pt x="402400" y="280121"/>
                              </a:lnTo>
                              <a:lnTo>
                                <a:pt x="358902" y="261029"/>
                              </a:lnTo>
                              <a:lnTo>
                                <a:pt x="322956" y="235175"/>
                              </a:lnTo>
                              <a:lnTo>
                                <a:pt x="294721" y="203061"/>
                              </a:lnTo>
                              <a:lnTo>
                                <a:pt x="274356" y="165193"/>
                              </a:lnTo>
                              <a:lnTo>
                                <a:pt x="262020" y="122073"/>
                              </a:lnTo>
                              <a:lnTo>
                                <a:pt x="257873" y="74206"/>
                              </a:lnTo>
                              <a:lnTo>
                                <a:pt x="257873" y="0"/>
                              </a:lnTo>
                              <a:close/>
                            </a:path>
                          </a:pathLst>
                        </a:custGeom>
                        <a:solidFill>
                          <a:srgbClr val="231F20"/>
                        </a:solidFill>
                      </wps:spPr>
                      <wps:bodyPr wrap="square" lIns="0" tIns="0" rIns="0" bIns="0" rtlCol="0"/>
                    </wps:wsp>
                    <wps:wsp>
                      <wps:cNvPr id="192614782" name="object 12">
                        <a:extLst>
                          <a:ext uri="{FF2B5EF4-FFF2-40B4-BE49-F238E27FC236}">
                            <a16:creationId xmlns:a16="http://schemas.microsoft.com/office/drawing/2014/main" id="{751B5F73-E678-B04C-726B-EE5936426E21}"/>
                          </a:ext>
                        </a:extLst>
                      </wps:cNvPr>
                      <wps:cNvSpPr/>
                      <wps:spPr>
                        <a:xfrm>
                          <a:off x="0" y="0"/>
                          <a:ext cx="660400" cy="126364"/>
                        </a:xfrm>
                        <a:custGeom>
                          <a:avLst/>
                          <a:gdLst/>
                          <a:ahLst/>
                          <a:cxnLst/>
                          <a:rect l="l" t="t" r="r" b="b"/>
                          <a:pathLst>
                            <a:path w="660400" h="126364">
                              <a:moveTo>
                                <a:pt x="660399" y="0"/>
                              </a:moveTo>
                              <a:lnTo>
                                <a:pt x="0" y="0"/>
                              </a:lnTo>
                              <a:lnTo>
                                <a:pt x="0" y="125793"/>
                              </a:lnTo>
                              <a:lnTo>
                                <a:pt x="660399" y="125793"/>
                              </a:lnTo>
                              <a:lnTo>
                                <a:pt x="660399" y="0"/>
                              </a:lnTo>
                              <a:close/>
                            </a:path>
                          </a:pathLst>
                        </a:custGeom>
                        <a:solidFill>
                          <a:srgbClr val="231F20"/>
                        </a:solidFill>
                      </wps:spPr>
                      <wps:bodyPr wrap="square" lIns="0" tIns="0" rIns="0" bIns="0" rtlCol="0"/>
                    </wps:wsp>
                    <wps:wsp>
                      <wps:cNvPr id="1736527410" name="object 13">
                        <a:extLst>
                          <a:ext uri="{FF2B5EF4-FFF2-40B4-BE49-F238E27FC236}">
                            <a16:creationId xmlns:a16="http://schemas.microsoft.com/office/drawing/2014/main" id="{05A92C99-AED0-01CA-305E-EB410CF65F2F}"/>
                          </a:ext>
                        </a:extLst>
                      </wps:cNvPr>
                      <wps:cNvSpPr/>
                      <wps:spPr>
                        <a:xfrm>
                          <a:off x="1100659" y="110540"/>
                          <a:ext cx="1659255" cy="440055"/>
                        </a:xfrm>
                        <a:custGeom>
                          <a:avLst/>
                          <a:gdLst/>
                          <a:ahLst/>
                          <a:cxnLst/>
                          <a:rect l="l" t="t" r="r" b="b"/>
                          <a:pathLst>
                            <a:path w="1659254" h="440054">
                              <a:moveTo>
                                <a:pt x="290156" y="0"/>
                              </a:moveTo>
                              <a:lnTo>
                                <a:pt x="0" y="0"/>
                              </a:lnTo>
                              <a:lnTo>
                                <a:pt x="0" y="53340"/>
                              </a:lnTo>
                              <a:lnTo>
                                <a:pt x="0" y="186690"/>
                              </a:lnTo>
                              <a:lnTo>
                                <a:pt x="0" y="237490"/>
                              </a:lnTo>
                              <a:lnTo>
                                <a:pt x="0" y="430530"/>
                              </a:lnTo>
                              <a:lnTo>
                                <a:pt x="60210" y="430530"/>
                              </a:lnTo>
                              <a:lnTo>
                                <a:pt x="60210" y="237490"/>
                              </a:lnTo>
                              <a:lnTo>
                                <a:pt x="274142" y="237490"/>
                              </a:lnTo>
                              <a:lnTo>
                                <a:pt x="274142" y="186690"/>
                              </a:lnTo>
                              <a:lnTo>
                                <a:pt x="60210" y="186690"/>
                              </a:lnTo>
                              <a:lnTo>
                                <a:pt x="60210" y="53340"/>
                              </a:lnTo>
                              <a:lnTo>
                                <a:pt x="290156" y="53340"/>
                              </a:lnTo>
                              <a:lnTo>
                                <a:pt x="290156" y="0"/>
                              </a:lnTo>
                              <a:close/>
                            </a:path>
                            <a:path w="1659254" h="440054">
                              <a:moveTo>
                                <a:pt x="598360" y="276466"/>
                              </a:moveTo>
                              <a:lnTo>
                                <a:pt x="591337" y="221881"/>
                              </a:lnTo>
                              <a:lnTo>
                                <a:pt x="571461" y="179120"/>
                              </a:lnTo>
                              <a:lnTo>
                                <a:pt x="543280" y="148361"/>
                              </a:lnTo>
                              <a:lnTo>
                                <a:pt x="543280" y="272618"/>
                              </a:lnTo>
                              <a:lnTo>
                                <a:pt x="541794" y="300507"/>
                              </a:lnTo>
                              <a:lnTo>
                                <a:pt x="529945" y="346786"/>
                              </a:lnTo>
                              <a:lnTo>
                                <a:pt x="506323" y="379895"/>
                              </a:lnTo>
                              <a:lnTo>
                                <a:pt x="471411" y="396709"/>
                              </a:lnTo>
                              <a:lnTo>
                                <a:pt x="449757" y="398805"/>
                              </a:lnTo>
                              <a:lnTo>
                                <a:pt x="435444" y="397992"/>
                              </a:lnTo>
                              <a:lnTo>
                                <a:pt x="392811" y="378777"/>
                              </a:lnTo>
                              <a:lnTo>
                                <a:pt x="369150" y="344627"/>
                              </a:lnTo>
                              <a:lnTo>
                                <a:pt x="359791" y="306476"/>
                              </a:lnTo>
                              <a:lnTo>
                                <a:pt x="358343" y="289979"/>
                              </a:lnTo>
                              <a:lnTo>
                                <a:pt x="358355" y="276466"/>
                              </a:lnTo>
                              <a:lnTo>
                                <a:pt x="363207" y="234594"/>
                              </a:lnTo>
                              <a:lnTo>
                                <a:pt x="381939" y="193763"/>
                              </a:lnTo>
                              <a:lnTo>
                                <a:pt x="422452" y="163982"/>
                              </a:lnTo>
                              <a:lnTo>
                                <a:pt x="454240" y="159893"/>
                              </a:lnTo>
                              <a:lnTo>
                                <a:pt x="466534" y="160540"/>
                              </a:lnTo>
                              <a:lnTo>
                                <a:pt x="505358" y="175641"/>
                              </a:lnTo>
                              <a:lnTo>
                                <a:pt x="533425" y="214020"/>
                              </a:lnTo>
                              <a:lnTo>
                                <a:pt x="542239" y="253161"/>
                              </a:lnTo>
                              <a:lnTo>
                                <a:pt x="543280" y="272618"/>
                              </a:lnTo>
                              <a:lnTo>
                                <a:pt x="543280" y="148361"/>
                              </a:lnTo>
                              <a:lnTo>
                                <a:pt x="507085" y="128181"/>
                              </a:lnTo>
                              <a:lnTo>
                                <a:pt x="467995" y="119481"/>
                              </a:lnTo>
                              <a:lnTo>
                                <a:pt x="454888" y="118897"/>
                              </a:lnTo>
                              <a:lnTo>
                                <a:pt x="431444" y="120040"/>
                              </a:lnTo>
                              <a:lnTo>
                                <a:pt x="391883" y="129171"/>
                              </a:lnTo>
                              <a:lnTo>
                                <a:pt x="349364" y="157251"/>
                              </a:lnTo>
                              <a:lnTo>
                                <a:pt x="322173" y="193941"/>
                              </a:lnTo>
                              <a:lnTo>
                                <a:pt x="307886" y="233870"/>
                              </a:lnTo>
                              <a:lnTo>
                                <a:pt x="302437" y="279019"/>
                              </a:lnTo>
                              <a:lnTo>
                                <a:pt x="303136" y="298259"/>
                              </a:lnTo>
                              <a:lnTo>
                                <a:pt x="313651" y="348526"/>
                              </a:lnTo>
                              <a:lnTo>
                                <a:pt x="335318" y="387794"/>
                              </a:lnTo>
                              <a:lnTo>
                                <a:pt x="366331" y="416267"/>
                              </a:lnTo>
                              <a:lnTo>
                                <a:pt x="405244" y="433857"/>
                              </a:lnTo>
                              <a:lnTo>
                                <a:pt x="450405" y="439801"/>
                              </a:lnTo>
                              <a:lnTo>
                                <a:pt x="465251" y="439166"/>
                              </a:lnTo>
                              <a:lnTo>
                                <a:pt x="507403" y="429552"/>
                              </a:lnTo>
                              <a:lnTo>
                                <a:pt x="543979" y="408419"/>
                              </a:lnTo>
                              <a:lnTo>
                                <a:pt x="572579" y="375754"/>
                              </a:lnTo>
                              <a:lnTo>
                                <a:pt x="591693" y="331597"/>
                              </a:lnTo>
                              <a:lnTo>
                                <a:pt x="597623" y="296049"/>
                              </a:lnTo>
                              <a:lnTo>
                                <a:pt x="598360" y="276466"/>
                              </a:lnTo>
                              <a:close/>
                            </a:path>
                            <a:path w="1659254" h="440054">
                              <a:moveTo>
                                <a:pt x="781062" y="124663"/>
                              </a:moveTo>
                              <a:lnTo>
                                <a:pt x="743165" y="129527"/>
                              </a:lnTo>
                              <a:lnTo>
                                <a:pt x="706120" y="149009"/>
                              </a:lnTo>
                              <a:lnTo>
                                <a:pt x="677938" y="183591"/>
                              </a:lnTo>
                              <a:lnTo>
                                <a:pt x="677938" y="128511"/>
                              </a:lnTo>
                              <a:lnTo>
                                <a:pt x="626694" y="128511"/>
                              </a:lnTo>
                              <a:lnTo>
                                <a:pt x="626694" y="430199"/>
                              </a:lnTo>
                              <a:lnTo>
                                <a:pt x="677938" y="430199"/>
                              </a:lnTo>
                              <a:lnTo>
                                <a:pt x="677938" y="290563"/>
                              </a:lnTo>
                              <a:lnTo>
                                <a:pt x="678091" y="271424"/>
                              </a:lnTo>
                              <a:lnTo>
                                <a:pt x="687133" y="221602"/>
                              </a:lnTo>
                              <a:lnTo>
                                <a:pt x="711885" y="192239"/>
                              </a:lnTo>
                              <a:lnTo>
                                <a:pt x="747788" y="178727"/>
                              </a:lnTo>
                              <a:lnTo>
                                <a:pt x="761212" y="177838"/>
                              </a:lnTo>
                              <a:lnTo>
                                <a:pt x="768032" y="177838"/>
                              </a:lnTo>
                              <a:lnTo>
                                <a:pt x="774661" y="178473"/>
                              </a:lnTo>
                              <a:lnTo>
                                <a:pt x="781062" y="179755"/>
                              </a:lnTo>
                              <a:lnTo>
                                <a:pt x="781062" y="124663"/>
                              </a:lnTo>
                              <a:close/>
                            </a:path>
                            <a:path w="1659254" h="440054">
                              <a:moveTo>
                                <a:pt x="1079207" y="321310"/>
                              </a:moveTo>
                              <a:lnTo>
                                <a:pt x="1024128" y="316179"/>
                              </a:lnTo>
                              <a:lnTo>
                                <a:pt x="1022921" y="324878"/>
                              </a:lnTo>
                              <a:lnTo>
                                <a:pt x="1021245" y="333260"/>
                              </a:lnTo>
                              <a:lnTo>
                                <a:pt x="1005446" y="369404"/>
                              </a:lnTo>
                              <a:lnTo>
                                <a:pt x="967359" y="395274"/>
                              </a:lnTo>
                              <a:lnTo>
                                <a:pt x="938288" y="398818"/>
                              </a:lnTo>
                              <a:lnTo>
                                <a:pt x="916355" y="396709"/>
                              </a:lnTo>
                              <a:lnTo>
                                <a:pt x="881126" y="379818"/>
                              </a:lnTo>
                              <a:lnTo>
                                <a:pt x="857465" y="346925"/>
                              </a:lnTo>
                              <a:lnTo>
                                <a:pt x="845616" y="303276"/>
                              </a:lnTo>
                              <a:lnTo>
                                <a:pt x="844130" y="277749"/>
                              </a:lnTo>
                              <a:lnTo>
                                <a:pt x="844613" y="261239"/>
                              </a:lnTo>
                              <a:lnTo>
                                <a:pt x="851763" y="220091"/>
                              </a:lnTo>
                              <a:lnTo>
                                <a:pt x="872109" y="182499"/>
                              </a:lnTo>
                              <a:lnTo>
                                <a:pt x="909205" y="159461"/>
                              </a:lnTo>
                              <a:lnTo>
                                <a:pt x="934415" y="156057"/>
                              </a:lnTo>
                              <a:lnTo>
                                <a:pt x="950468" y="157175"/>
                              </a:lnTo>
                              <a:lnTo>
                                <a:pt x="989088" y="173990"/>
                              </a:lnTo>
                              <a:lnTo>
                                <a:pt x="1011974" y="209537"/>
                              </a:lnTo>
                              <a:lnTo>
                                <a:pt x="1015796" y="225234"/>
                              </a:lnTo>
                              <a:lnTo>
                                <a:pt x="1073442" y="220103"/>
                              </a:lnTo>
                              <a:lnTo>
                                <a:pt x="1055763" y="177368"/>
                              </a:lnTo>
                              <a:lnTo>
                                <a:pt x="1025944" y="145986"/>
                              </a:lnTo>
                              <a:lnTo>
                                <a:pt x="979906" y="124307"/>
                              </a:lnTo>
                              <a:lnTo>
                                <a:pt x="933831" y="118897"/>
                              </a:lnTo>
                              <a:lnTo>
                                <a:pt x="916051" y="119697"/>
                              </a:lnTo>
                              <a:lnTo>
                                <a:pt x="869480" y="131711"/>
                              </a:lnTo>
                              <a:lnTo>
                                <a:pt x="833234" y="156146"/>
                              </a:lnTo>
                              <a:lnTo>
                                <a:pt x="807389" y="190563"/>
                              </a:lnTo>
                              <a:lnTo>
                                <a:pt x="791730" y="233197"/>
                              </a:lnTo>
                              <a:lnTo>
                                <a:pt x="786485" y="281597"/>
                              </a:lnTo>
                              <a:lnTo>
                                <a:pt x="787107" y="298551"/>
                              </a:lnTo>
                              <a:lnTo>
                                <a:pt x="796455" y="345325"/>
                              </a:lnTo>
                              <a:lnTo>
                                <a:pt x="816660" y="384365"/>
                              </a:lnTo>
                              <a:lnTo>
                                <a:pt x="847128" y="413867"/>
                              </a:lnTo>
                              <a:lnTo>
                                <a:pt x="887044" y="433133"/>
                              </a:lnTo>
                              <a:lnTo>
                                <a:pt x="936396" y="439801"/>
                              </a:lnTo>
                              <a:lnTo>
                                <a:pt x="949121" y="439420"/>
                              </a:lnTo>
                              <a:lnTo>
                                <a:pt x="997038" y="430174"/>
                              </a:lnTo>
                              <a:lnTo>
                                <a:pt x="1036726" y="405955"/>
                              </a:lnTo>
                              <a:lnTo>
                                <a:pt x="1065758" y="364718"/>
                              </a:lnTo>
                              <a:lnTo>
                                <a:pt x="1075563" y="337019"/>
                              </a:lnTo>
                              <a:lnTo>
                                <a:pt x="1079207" y="321310"/>
                              </a:lnTo>
                              <a:close/>
                            </a:path>
                            <a:path w="1659254" h="440054">
                              <a:moveTo>
                                <a:pt x="1360690" y="128511"/>
                              </a:moveTo>
                              <a:lnTo>
                                <a:pt x="1309446" y="128511"/>
                              </a:lnTo>
                              <a:lnTo>
                                <a:pt x="1309446" y="282498"/>
                              </a:lnTo>
                              <a:lnTo>
                                <a:pt x="1308963" y="301028"/>
                              </a:lnTo>
                              <a:lnTo>
                                <a:pt x="1299641" y="346265"/>
                              </a:lnTo>
                              <a:lnTo>
                                <a:pt x="1268945" y="378028"/>
                              </a:lnTo>
                              <a:lnTo>
                                <a:pt x="1226324" y="389204"/>
                              </a:lnTo>
                              <a:lnTo>
                                <a:pt x="1211948" y="388607"/>
                              </a:lnTo>
                              <a:lnTo>
                                <a:pt x="1175512" y="370039"/>
                              </a:lnTo>
                              <a:lnTo>
                                <a:pt x="1162024" y="329704"/>
                              </a:lnTo>
                              <a:lnTo>
                                <a:pt x="1161491" y="128511"/>
                              </a:lnTo>
                              <a:lnTo>
                                <a:pt x="1110246" y="128511"/>
                              </a:lnTo>
                              <a:lnTo>
                                <a:pt x="1110246" y="322592"/>
                              </a:lnTo>
                              <a:lnTo>
                                <a:pt x="1110386" y="332193"/>
                              </a:lnTo>
                              <a:lnTo>
                                <a:pt x="1114145" y="370547"/>
                              </a:lnTo>
                              <a:lnTo>
                                <a:pt x="1134897" y="410743"/>
                              </a:lnTo>
                              <a:lnTo>
                                <a:pt x="1170457" y="432117"/>
                              </a:lnTo>
                              <a:lnTo>
                                <a:pt x="1206322" y="437883"/>
                              </a:lnTo>
                              <a:lnTo>
                                <a:pt x="1221232" y="436981"/>
                              </a:lnTo>
                              <a:lnTo>
                                <a:pt x="1264297" y="423468"/>
                              </a:lnTo>
                              <a:lnTo>
                                <a:pt x="1299781" y="395909"/>
                              </a:lnTo>
                              <a:lnTo>
                                <a:pt x="1308811" y="384086"/>
                              </a:lnTo>
                              <a:lnTo>
                                <a:pt x="1308811" y="430199"/>
                              </a:lnTo>
                              <a:lnTo>
                                <a:pt x="1360690" y="430199"/>
                              </a:lnTo>
                              <a:lnTo>
                                <a:pt x="1360690" y="128511"/>
                              </a:lnTo>
                              <a:close/>
                            </a:path>
                            <a:path w="1659254" h="440054">
                              <a:moveTo>
                                <a:pt x="1659178" y="344360"/>
                              </a:moveTo>
                              <a:lnTo>
                                <a:pt x="1647291" y="302514"/>
                              </a:lnTo>
                              <a:lnTo>
                                <a:pt x="1615274" y="275513"/>
                              </a:lnTo>
                              <a:lnTo>
                                <a:pt x="1569288" y="259257"/>
                              </a:lnTo>
                              <a:lnTo>
                                <a:pt x="1529562" y="249567"/>
                              </a:lnTo>
                              <a:lnTo>
                                <a:pt x="1513281" y="245325"/>
                              </a:lnTo>
                              <a:lnTo>
                                <a:pt x="1475930" y="231635"/>
                              </a:lnTo>
                              <a:lnTo>
                                <a:pt x="1456766" y="202171"/>
                              </a:lnTo>
                              <a:lnTo>
                                <a:pt x="1456766" y="197472"/>
                              </a:lnTo>
                              <a:lnTo>
                                <a:pt x="1481632" y="164922"/>
                              </a:lnTo>
                              <a:lnTo>
                                <a:pt x="1516062" y="157975"/>
                              </a:lnTo>
                              <a:lnTo>
                                <a:pt x="1523860" y="158191"/>
                              </a:lnTo>
                              <a:lnTo>
                                <a:pt x="1561223" y="166941"/>
                              </a:lnTo>
                              <a:lnTo>
                                <a:pt x="1589824" y="192138"/>
                              </a:lnTo>
                              <a:lnTo>
                                <a:pt x="1596402" y="224586"/>
                              </a:lnTo>
                              <a:lnTo>
                                <a:pt x="1651495" y="218186"/>
                              </a:lnTo>
                              <a:lnTo>
                                <a:pt x="1639582" y="179006"/>
                              </a:lnTo>
                              <a:lnTo>
                                <a:pt x="1610017" y="145491"/>
                              </a:lnTo>
                              <a:lnTo>
                                <a:pt x="1573999" y="126771"/>
                              </a:lnTo>
                              <a:lnTo>
                                <a:pt x="1534274" y="119214"/>
                              </a:lnTo>
                              <a:lnTo>
                                <a:pt x="1522742" y="118897"/>
                              </a:lnTo>
                              <a:lnTo>
                                <a:pt x="1512468" y="119189"/>
                              </a:lnTo>
                              <a:lnTo>
                                <a:pt x="1471256" y="126466"/>
                              </a:lnTo>
                              <a:lnTo>
                                <a:pt x="1435544" y="144767"/>
                              </a:lnTo>
                              <a:lnTo>
                                <a:pt x="1411478" y="175602"/>
                              </a:lnTo>
                              <a:lnTo>
                                <a:pt x="1405521" y="208572"/>
                              </a:lnTo>
                              <a:lnTo>
                                <a:pt x="1405839" y="216420"/>
                              </a:lnTo>
                              <a:lnTo>
                                <a:pt x="1422476" y="256768"/>
                              </a:lnTo>
                              <a:lnTo>
                                <a:pt x="1461579" y="281914"/>
                              </a:lnTo>
                              <a:lnTo>
                                <a:pt x="1498384" y="293255"/>
                              </a:lnTo>
                              <a:lnTo>
                                <a:pt x="1549425" y="303377"/>
                              </a:lnTo>
                              <a:lnTo>
                                <a:pt x="1571523" y="308292"/>
                              </a:lnTo>
                              <a:lnTo>
                                <a:pt x="1603336" y="333794"/>
                              </a:lnTo>
                              <a:lnTo>
                                <a:pt x="1605368" y="341160"/>
                              </a:lnTo>
                              <a:lnTo>
                                <a:pt x="1605368" y="350126"/>
                              </a:lnTo>
                              <a:lnTo>
                                <a:pt x="1586928" y="387819"/>
                              </a:lnTo>
                              <a:lnTo>
                                <a:pt x="1548879" y="400088"/>
                              </a:lnTo>
                              <a:lnTo>
                                <a:pt x="1541691" y="400735"/>
                              </a:lnTo>
                              <a:lnTo>
                                <a:pt x="1525968" y="400469"/>
                              </a:lnTo>
                              <a:lnTo>
                                <a:pt x="1481709" y="389763"/>
                              </a:lnTo>
                              <a:lnTo>
                                <a:pt x="1455204" y="358876"/>
                              </a:lnTo>
                              <a:lnTo>
                                <a:pt x="1450365" y="324510"/>
                              </a:lnTo>
                              <a:lnTo>
                                <a:pt x="1392720" y="332841"/>
                              </a:lnTo>
                              <a:lnTo>
                                <a:pt x="1404569" y="374472"/>
                              </a:lnTo>
                              <a:lnTo>
                                <a:pt x="1429550" y="408419"/>
                              </a:lnTo>
                              <a:lnTo>
                                <a:pt x="1471180" y="431482"/>
                              </a:lnTo>
                              <a:lnTo>
                                <a:pt x="1515427" y="439280"/>
                              </a:lnTo>
                              <a:lnTo>
                                <a:pt x="1532991" y="439801"/>
                              </a:lnTo>
                              <a:lnTo>
                                <a:pt x="1546199" y="439381"/>
                              </a:lnTo>
                              <a:lnTo>
                                <a:pt x="1594104" y="429361"/>
                              </a:lnTo>
                              <a:lnTo>
                                <a:pt x="1631010" y="407301"/>
                              </a:lnTo>
                              <a:lnTo>
                                <a:pt x="1653768" y="374688"/>
                              </a:lnTo>
                              <a:lnTo>
                                <a:pt x="1658581" y="354990"/>
                              </a:lnTo>
                              <a:lnTo>
                                <a:pt x="1659178" y="344360"/>
                              </a:lnTo>
                              <a:close/>
                            </a:path>
                          </a:pathLst>
                        </a:custGeom>
                        <a:solidFill>
                          <a:srgbClr val="231F20"/>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773B93A0" id="グループ化 54" o:spid="_x0000_s1026" style="position:absolute;margin-left:0;margin-top:24.65pt;width:54.85pt;height:13pt;z-index:251281920;mso-position-horizontal:center;mso-position-horizontal-relative:margin;mso-width-relative:margin;mso-height-relative:margin" coordsize="27599,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">
              <v:shape id="object 11" o:spid="_x0000_s1027" style="position:absolute;top:1886;width:6604;height:4718;visibility:visible;mso-wrap-style:square;v-text-anchor:top" coordsize="660400,47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" path="m257873,l,,,471716r128155,l128155,94195r483,l134286,144694r11680,46680l163214,234127r22356,38715l212573,307412r31189,30314l278674,363676r38175,21476l357825,402046r43317,12203l446337,421650r46613,2491l660400,424154r,-128156l511416,295998r-58125,-4053l402400,280121,358902,261029,322956,235175,294721,203061,274356,165193,262020,122073,257873,74206,257873,xe" fillcolor="#231f20" stroked="f">
                <v:path arrowok="t"/>
              </v:shape>
              <v:shape id="object 12" o:spid="_x0000_s1028" style="position:absolute;width:6604;height:1263;visibility:visible;mso-wrap-style:square;v-text-anchor:top" coordsize="66040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" path="m660399,l,,,125793r660399,l660399,xe" fillcolor="#231f20" stroked="f">
                <v:path arrowok="t"/>
              </v:shape>
              <v:shape id="object 13" o:spid="_x0000_s1029" style="position:absolute;left:11006;top:1105;width:16593;height:4400;visibility:visible;mso-wrap-style:square;v-text-anchor:top" coordsize="1659254,44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" path="m290156,l,,,53340,,186690r,50800l,430530r60210,l60210,237490r213932,l274142,186690r-213932,l60210,53340r229946,l290156,xem598360,276466r-7023,-54585l571461,179120,543280,148361r,124257l541794,300507r-11849,46279l506323,379895r-34912,16814l449757,398805r-14313,-813l392811,378777,369150,344627r-9359,-38151l358343,289979r12,-13513l363207,234594r18732,-40831l422452,163982r31788,-4089l466534,160540r38824,15101l533425,214020r8814,39141l543280,272618r,-124257l507085,128181r-39090,-8700l454888,118897r-23444,1143l391883,129171r-42519,28080l322173,193941r-14287,39929l302437,279019r699,19240l313651,348526r21667,39268l366331,416267r38913,17590l450405,439801r14846,-635l507403,429552r36576,-21133l572579,375754r19114,-44157l597623,296049r737,-19583xem781062,124663r-37897,4864l706120,149009r-28182,34582l677938,128511r-51244,l626694,430199r51244,l677938,290563r153,-19139l687133,221602r24752,-29363l747788,178727r13424,-889l768032,177838r6629,635l781062,179755r,-55092xem1079207,321310r-55079,-5131l1022921,324878r-1676,8382l1005446,369404r-38087,25870l938288,398818r-21933,-2109l881126,379818,857465,346925,845616,303276r-1486,-25527l844613,261239r7150,-41148l872109,182499r37096,-23038l934415,156057r16053,1118l989088,173990r22886,35547l1015796,225234r57646,-5131l1055763,177368r-29819,-31382l979906,124307r-46075,-5410l916051,119697r-46571,12014l833234,156146r-25845,34417l791730,233197r-5245,48400l787107,298551r9348,46774l816660,384365r30468,29502l887044,433133r49352,6668l949121,439420r47917,-9246l1036726,405955r29032,-41237l1075563,337019r3644,-15709xem1360690,128511r-51244,l1309446,282498r-483,18530l1299641,346265r-30696,31763l1226324,389204r-14376,-597l1175512,370039r-13488,-40335l1161491,128511r-51245,l1110246,322592r140,9601l1114145,370547r20752,40196l1170457,432117r35865,5766l1221232,436981r43065,-13513l1299781,395909r9030,-11823l1308811,430199r51879,l1360690,128511xem1659178,344360r-11887,-41846l1615274,275513r-45986,-16256l1529562,249567r-16281,-4242l1475930,231635r-19164,-29464l1456766,197472r24866,-32550l1516062,157975r7798,216l1561223,166941r28601,25197l1596402,224586r55093,-6400l1639582,179006r-29565,-33515l1573999,126771r-39725,-7557l1522742,118897r-10274,292l1471256,126466r-35712,18301l1411478,175602r-5957,32970l1405839,216420r16637,40348l1461579,281914r36805,11341l1549425,303377r22098,4915l1603336,333794r2032,7366l1605368,350126r-18440,37693l1548879,400088r-7188,647l1525968,400469r-44259,-10706l1455204,358876r-4839,-34366l1392720,332841r11849,41631l1429550,408419r41630,23063l1515427,439280r17564,521l1546199,439381r47905,-10020l1631010,407301r22758,-32613l1658581,354990r597,-10630xe" fillcolor="#231f20" stroked="f">
                <v:path arrowok="t"/>
              </v:shape>
              <w10:wrap anchorx="margin"/>
            </v:group>
          </w:pict>
        </mc:Fallback>
      </mc:AlternateContent>
    </w:r>
    <w:r w:rsidR="00BD32E4" w:rsidRPr="00575A26">
      <w:rPr>
        <w:color w:val="AEAAAA" w:themeColor="background2" w:themeShade="BF"/>
        <w:sz w:val="18"/>
        <w:szCs w:val="18"/>
      </w:rPr>
      <w:fldChar w:fldCharType="begin"/>
    </w:r>
    <w:r w:rsidR="00BD32E4" w:rsidRPr="00575A26">
      <w:rPr>
        <w:color w:val="AEAAAA" w:themeColor="background2" w:themeShade="BF"/>
        <w:sz w:val="18"/>
        <w:szCs w:val="18"/>
      </w:rPr>
      <w:instrText>PAGE   \* MERGEFORMAT</w:instrText>
    </w:r>
    <w:r w:rsidR="00BD32E4" w:rsidRPr="00575A26">
      <w:rPr>
        <w:color w:val="AEAAAA" w:themeColor="background2" w:themeShade="BF"/>
        <w:sz w:val="18"/>
        <w:szCs w:val="18"/>
      </w:rPr>
      <w:fldChar w:fldCharType="separate"/>
    </w:r>
    <w:r w:rsidR="00BD32E4" w:rsidRPr="00575A26">
      <w:rPr>
        <w:color w:val="AEAAAA" w:themeColor="background2" w:themeShade="BF"/>
        <w:sz w:val="18"/>
        <w:szCs w:val="18"/>
      </w:rPr>
      <w:t>1</w:t>
    </w:r>
    <w:r w:rsidR="00BD32E4" w:rsidRPr="00575A26">
      <w:rPr>
        <w:color w:val="AEAAAA" w:themeColor="background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2FB" w14:textId="77777777" w:rsidR="00B340AB" w:rsidRDefault="00B340AB" w:rsidP="00C24EAA">
      <w:pPr>
        <w:spacing w:after="0" w:line="240" w:lineRule="auto"/>
      </w:pPr>
      <w:r>
        <w:separator/>
      </w:r>
    </w:p>
  </w:footnote>
  <w:footnote w:type="continuationSeparator" w:id="0">
    <w:p w14:paraId="116F32D7" w14:textId="77777777" w:rsidR="00B340AB" w:rsidRDefault="00B340AB" w:rsidP="00C2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8256" w14:textId="77777777" w:rsidR="001F2D3B" w:rsidRDefault="001F2D3B">
    <w:pPr>
      <w:pStyle w:val="a3"/>
    </w:pPr>
  </w:p>
  <w:p w14:paraId="1E62FFB3" w14:textId="77777777" w:rsidR="006C7ED7" w:rsidRDefault="006C7ED7">
    <w:pPr>
      <w:pStyle w:val="a3"/>
    </w:pPr>
    <w:r w:rsidRPr="0067552C">
      <w:rPr>
        <w:noProof/>
        <w:color w:val="040404"/>
      </w:rPr>
      <mc:AlternateContent>
        <mc:Choice Requires="wps">
          <w:drawing>
            <wp:anchor distT="0" distB="0" distL="114300" distR="114300" simplePos="0" relativeHeight="251511296" behindDoc="0" locked="0" layoutInCell="1" allowOverlap="1" wp14:anchorId="77A42DAF" wp14:editId="70798B0E">
              <wp:simplePos x="0" y="0"/>
              <wp:positionH relativeFrom="margin">
                <wp:posOffset>5080</wp:posOffset>
              </wp:positionH>
              <wp:positionV relativeFrom="paragraph">
                <wp:posOffset>140335</wp:posOffset>
              </wp:positionV>
              <wp:extent cx="5394960" cy="0"/>
              <wp:effectExtent l="0" t="0" r="0" b="0"/>
              <wp:wrapNone/>
              <wp:docPr id="1479014678"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3B7AF22D" id="直線コネクタ 19" o:spid="_x0000_s1026" style="position:absolute;z-index:251511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11.05pt" to="425.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" strokecolor="#bfbfbf [241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7D4A"/>
    <w:multiLevelType w:val="hybridMultilevel"/>
    <w:tmpl w:val="05D047D4"/>
    <w:lvl w:ilvl="0" w:tplc="0409000F">
      <w:start w:val="1"/>
      <w:numFmt w:val="decimal"/>
      <w:lvlText w:val="%1."/>
      <w:lvlJc w:val="left"/>
      <w:pPr>
        <w:ind w:left="440" w:hanging="440"/>
      </w:pPr>
    </w:lvl>
    <w:lvl w:ilvl="1" w:tplc="04090009">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97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6E3C"/>
    <w:rsid w:val="00011E6E"/>
    <w:rsid w:val="0002082C"/>
    <w:rsid w:val="00023E05"/>
    <w:rsid w:val="000B05B8"/>
    <w:rsid w:val="000C7E11"/>
    <w:rsid w:val="000D2036"/>
    <w:rsid w:val="000F4AFB"/>
    <w:rsid w:val="0011704B"/>
    <w:rsid w:val="001264DE"/>
    <w:rsid w:val="00132308"/>
    <w:rsid w:val="001369A3"/>
    <w:rsid w:val="00152BF9"/>
    <w:rsid w:val="00162273"/>
    <w:rsid w:val="00171E69"/>
    <w:rsid w:val="0019317A"/>
    <w:rsid w:val="00197F6F"/>
    <w:rsid w:val="001A6600"/>
    <w:rsid w:val="001B443B"/>
    <w:rsid w:val="001F2D3B"/>
    <w:rsid w:val="00216C26"/>
    <w:rsid w:val="0022408A"/>
    <w:rsid w:val="00233A47"/>
    <w:rsid w:val="00235DBE"/>
    <w:rsid w:val="0027263D"/>
    <w:rsid w:val="00281C33"/>
    <w:rsid w:val="002D3FE1"/>
    <w:rsid w:val="002D6F08"/>
    <w:rsid w:val="002F5255"/>
    <w:rsid w:val="0031787D"/>
    <w:rsid w:val="003403A7"/>
    <w:rsid w:val="00350841"/>
    <w:rsid w:val="00375EF8"/>
    <w:rsid w:val="00397BA8"/>
    <w:rsid w:val="003A1D0F"/>
    <w:rsid w:val="003B66DC"/>
    <w:rsid w:val="003B7EFF"/>
    <w:rsid w:val="00410E18"/>
    <w:rsid w:val="0043625F"/>
    <w:rsid w:val="00436FCE"/>
    <w:rsid w:val="0044071A"/>
    <w:rsid w:val="00451DB7"/>
    <w:rsid w:val="00452D40"/>
    <w:rsid w:val="00463A9A"/>
    <w:rsid w:val="004A1DFE"/>
    <w:rsid w:val="004A4392"/>
    <w:rsid w:val="004B7894"/>
    <w:rsid w:val="004C0088"/>
    <w:rsid w:val="005007BA"/>
    <w:rsid w:val="00575A26"/>
    <w:rsid w:val="0057611A"/>
    <w:rsid w:val="00597AD6"/>
    <w:rsid w:val="005A2C81"/>
    <w:rsid w:val="005A46EB"/>
    <w:rsid w:val="005D12D7"/>
    <w:rsid w:val="005D5BBE"/>
    <w:rsid w:val="005E4D89"/>
    <w:rsid w:val="005F4634"/>
    <w:rsid w:val="006031D1"/>
    <w:rsid w:val="00613198"/>
    <w:rsid w:val="00627AF1"/>
    <w:rsid w:val="006514C2"/>
    <w:rsid w:val="0067552C"/>
    <w:rsid w:val="00682241"/>
    <w:rsid w:val="006A1D03"/>
    <w:rsid w:val="006C7ED7"/>
    <w:rsid w:val="006E2002"/>
    <w:rsid w:val="006E77F0"/>
    <w:rsid w:val="00710C80"/>
    <w:rsid w:val="007734AC"/>
    <w:rsid w:val="007A117E"/>
    <w:rsid w:val="007A7C46"/>
    <w:rsid w:val="007B5C5F"/>
    <w:rsid w:val="007C7DD8"/>
    <w:rsid w:val="007D6D83"/>
    <w:rsid w:val="007E71FB"/>
    <w:rsid w:val="007E7E8B"/>
    <w:rsid w:val="00821ADA"/>
    <w:rsid w:val="008354A6"/>
    <w:rsid w:val="008424CF"/>
    <w:rsid w:val="00844379"/>
    <w:rsid w:val="00854710"/>
    <w:rsid w:val="008626BA"/>
    <w:rsid w:val="00870105"/>
    <w:rsid w:val="008727E2"/>
    <w:rsid w:val="008A7B9A"/>
    <w:rsid w:val="008B58D0"/>
    <w:rsid w:val="00903E54"/>
    <w:rsid w:val="00923A6B"/>
    <w:rsid w:val="00925D57"/>
    <w:rsid w:val="00986F8D"/>
    <w:rsid w:val="009A638E"/>
    <w:rsid w:val="00A04A9A"/>
    <w:rsid w:val="00A21C05"/>
    <w:rsid w:val="00A22CB3"/>
    <w:rsid w:val="00A73392"/>
    <w:rsid w:val="00A83807"/>
    <w:rsid w:val="00A86D3D"/>
    <w:rsid w:val="00AA2F2F"/>
    <w:rsid w:val="00AC33D5"/>
    <w:rsid w:val="00AD2ECC"/>
    <w:rsid w:val="00AD3800"/>
    <w:rsid w:val="00B26BC2"/>
    <w:rsid w:val="00B340AB"/>
    <w:rsid w:val="00B358FC"/>
    <w:rsid w:val="00B705A4"/>
    <w:rsid w:val="00B74DB6"/>
    <w:rsid w:val="00BB4845"/>
    <w:rsid w:val="00BD32E4"/>
    <w:rsid w:val="00C16644"/>
    <w:rsid w:val="00C24EAA"/>
    <w:rsid w:val="00C3493F"/>
    <w:rsid w:val="00C6333A"/>
    <w:rsid w:val="00C82650"/>
    <w:rsid w:val="00C84EB9"/>
    <w:rsid w:val="00CA6CC6"/>
    <w:rsid w:val="00D017A4"/>
    <w:rsid w:val="00D269A8"/>
    <w:rsid w:val="00D37CA3"/>
    <w:rsid w:val="00D56C1E"/>
    <w:rsid w:val="00D64BDB"/>
    <w:rsid w:val="00D65109"/>
    <w:rsid w:val="00D9462D"/>
    <w:rsid w:val="00DC3873"/>
    <w:rsid w:val="00DC4C6D"/>
    <w:rsid w:val="00DD59B7"/>
    <w:rsid w:val="00DE1791"/>
    <w:rsid w:val="00DF6F23"/>
    <w:rsid w:val="00E14C57"/>
    <w:rsid w:val="00E20A2F"/>
    <w:rsid w:val="00E360A1"/>
    <w:rsid w:val="00E4735A"/>
    <w:rsid w:val="00E604ED"/>
    <w:rsid w:val="00E6133C"/>
    <w:rsid w:val="00E839BD"/>
    <w:rsid w:val="00E83B37"/>
    <w:rsid w:val="00EA48C8"/>
    <w:rsid w:val="00EC1A45"/>
    <w:rsid w:val="00EC3F2C"/>
    <w:rsid w:val="00EC4963"/>
    <w:rsid w:val="00F442A3"/>
    <w:rsid w:val="00F764B3"/>
    <w:rsid w:val="00F85438"/>
    <w:rsid w:val="00F8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F9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05"/>
    <w:pPr>
      <w:spacing w:after="120" w:line="264" w:lineRule="auto"/>
    </w:pPr>
    <w:rPr>
      <w:rFonts w:ascii="游ゴシック" w:hAnsi="游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EAA"/>
    <w:pPr>
      <w:tabs>
        <w:tab w:val="center" w:pos="4252"/>
        <w:tab w:val="right" w:pos="8504"/>
      </w:tabs>
      <w:snapToGrid w:val="0"/>
    </w:pPr>
  </w:style>
  <w:style w:type="character" w:customStyle="1" w:styleId="a4">
    <w:name w:val="ヘッダー (文字)"/>
    <w:basedOn w:val="a0"/>
    <w:link w:val="a3"/>
    <w:uiPriority w:val="99"/>
    <w:rsid w:val="00C24EAA"/>
  </w:style>
  <w:style w:type="paragraph" w:styleId="a5">
    <w:name w:val="footer"/>
    <w:basedOn w:val="a"/>
    <w:link w:val="a6"/>
    <w:uiPriority w:val="99"/>
    <w:unhideWhenUsed/>
    <w:rsid w:val="00C24EAA"/>
    <w:pPr>
      <w:tabs>
        <w:tab w:val="center" w:pos="4252"/>
        <w:tab w:val="right" w:pos="8504"/>
      </w:tabs>
      <w:snapToGrid w:val="0"/>
    </w:pPr>
  </w:style>
  <w:style w:type="character" w:customStyle="1" w:styleId="a6">
    <w:name w:val="フッター (文字)"/>
    <w:basedOn w:val="a0"/>
    <w:link w:val="a5"/>
    <w:uiPriority w:val="99"/>
    <w:rsid w:val="00C24EAA"/>
  </w:style>
  <w:style w:type="paragraph" w:styleId="a7">
    <w:name w:val="List Paragraph"/>
    <w:basedOn w:val="a"/>
    <w:uiPriority w:val="34"/>
    <w:qFormat/>
    <w:rsid w:val="00BD32E4"/>
    <w:pPr>
      <w:ind w:leftChars="400" w:left="840"/>
    </w:pPr>
  </w:style>
  <w:style w:type="paragraph" w:styleId="Web">
    <w:name w:val="Normal (Web)"/>
    <w:basedOn w:val="a"/>
    <w:uiPriority w:val="99"/>
    <w:semiHidden/>
    <w:unhideWhenUsed/>
    <w:rsid w:val="0044071A"/>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4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A402-D1BF-4AD9-AEBE-73F4B7EB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Forcus</Template>
  <TotalTime>0</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久保田完</dc:creator>
  <cp:keywords/>
  <dc:description/>
  <cp:lastModifiedBy>坂本 悠</cp:lastModifiedBy>
  <cp:revision>2</cp:revision>
  <cp:lastPrinted>2024-02-21T04:46:00Z</cp:lastPrinted>
  <dcterms:created xsi:type="dcterms:W3CDTF">2026-02-13T07:44:00Z</dcterms:created>
  <dcterms:modified xsi:type="dcterms:W3CDTF">2026-02-13T07:44:00Z</dcterms:modified>
</cp:coreProperties>
</file>