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after="80"/>
        <w:jc w:val="center"/>
      </w:pPr>
      <w:r>
        <w:rPr>
          <w:rFonts w:ascii="游ゴシック" w:hAnsi="游ゴシック"/>
          <w:b/>
          <w:sz w:val="32"/>
        </w:rPr>
        <w:t>推奨銘柄（米国株式）</w:t>
      </w:r>
    </w:p>
    <w:p>
      <w:pPr>
        <w:spacing w:after="0"/>
        <w:jc w:val="right"/>
      </w:pPr>
      <w:r>
        <w:rPr>
          <w:rFonts w:ascii="游ゴシック" w:hAnsi="游ゴシック"/>
          <w:b w:val="0"/>
          <w:sz w:val="22"/>
        </w:rPr>
        <w:t>2026年7月7日</w:t>
      </w:r>
    </w:p>
    <w:p>
      <w:pPr>
        <w:spacing w:after="80"/>
      </w:pPr>
      <w:r>
        <w:rPr>
          <w:rFonts w:ascii="游ゴシック" w:hAnsi="游ゴシック"/>
          <w:b w:val="0"/>
          <w:sz w:val="20"/>
        </w:rPr>
      </w:r>
    </w:p>
    <w:p>
      <w:pPr>
        <w:spacing w:after="80"/>
      </w:pPr>
      <w:r>
        <w:rPr>
          <w:rFonts w:ascii="游ゴシック" w:hAnsi="游ゴシック"/>
          <w:b w:val="0"/>
          <w:sz w:val="20"/>
        </w:rPr>
        <w:t>以下6つの観点から総合的に精査し、10銘柄を選定。</w:t>
      </w:r>
    </w:p>
    <w:p>
      <w:r>
        <w:rPr>
          <w:rFonts w:ascii="游ゴシック" w:hAnsi="游ゴシック"/>
          <w:sz w:val="20"/>
        </w:rPr>
        <w:t>・今期以降、業績の持続的な成長が見込まれる</w:t>
      </w:r>
    </w:p>
    <w:p>
      <w:r>
        <w:rPr>
          <w:rFonts w:ascii="游ゴシック" w:hAnsi="游ゴシック"/>
          <w:sz w:val="20"/>
        </w:rPr>
        <w:t>・高い収益性を有している（特にROE、ROAを重視）</w:t>
      </w:r>
    </w:p>
    <w:p>
      <w:r>
        <w:rPr>
          <w:rFonts w:ascii="游ゴシック" w:hAnsi="游ゴシック"/>
          <w:sz w:val="20"/>
        </w:rPr>
        <w:t>・競争優位性が強固であり、同業他社の追随を許さないポジションを確立している</w:t>
      </w:r>
    </w:p>
    <w:p>
      <w:r>
        <w:rPr>
          <w:rFonts w:ascii="游ゴシック" w:hAnsi="游ゴシック"/>
          <w:sz w:val="20"/>
        </w:rPr>
        <w:t>・長期的な成長余地を裏付ける、明確かつ魅力的なエクイティ・ストーリーを有している</w:t>
      </w:r>
    </w:p>
    <w:p>
      <w:r>
        <w:rPr>
          <w:rFonts w:ascii="游ゴシック" w:hAnsi="游ゴシック"/>
          <w:sz w:val="20"/>
        </w:rPr>
        <w:t>・バリュエーション面での妙味が認められる（主にPERおよび株価推移を踏まえて判断）</w:t>
      </w:r>
    </w:p>
    <w:p>
      <w:r>
        <w:rPr>
          <w:rFonts w:ascii="游ゴシック" w:hAnsi="游ゴシック"/>
          <w:sz w:val="20"/>
        </w:rPr>
        <w:t>・銘柄全体として、業種および時価総額規模の分散が適切に確保されている</w:t>
      </w:r>
    </w:p>
    <w:p>
      <w:pPr>
        <w:spacing w:after="80"/>
      </w:pPr>
      <w:r>
        <w:rPr>
          <w:rFonts w:ascii="游ゴシック" w:hAnsi="游ゴシック"/>
          <w:b w:val="0"/>
          <w:sz w:val="20"/>
        </w:rPr>
      </w:r>
    </w:p>
    <w:p>
      <w:pPr>
        <w:spacing w:after="80"/>
      </w:pPr>
      <w:r>
        <w:rPr>
          <w:rFonts w:ascii="游ゴシック" w:hAnsi="游ゴシック"/>
          <w:b/>
          <w:sz w:val="24"/>
        </w:rPr>
        <w:t>選定銘柄</w:t>
      </w:r>
    </w:p>
    <w:p>
      <w:r>
        <w:rPr>
          <w:rFonts w:ascii="游ゴシック" w:hAnsi="游ゴシック"/>
          <w:b/>
          <w:sz w:val="20"/>
        </w:rPr>
        <w:t>① アマゾン・ドットコム（AMZN）</w:t>
      </w:r>
    </w:p>
    <w:p>
      <w:r>
        <w:rPr>
          <w:rFonts w:ascii="游ゴシック" w:hAnsi="游ゴシック"/>
          <w:b/>
          <w:sz w:val="20"/>
        </w:rPr>
        <w:t>② ブロードコム（AVGO）</w:t>
      </w:r>
    </w:p>
    <w:p>
      <w:r>
        <w:rPr>
          <w:rFonts w:ascii="游ゴシック" w:hAnsi="游ゴシック"/>
          <w:b/>
          <w:sz w:val="20"/>
        </w:rPr>
        <w:t>③ ジョンソン・エンド・ジョンソン（JNJ）</w:t>
      </w:r>
    </w:p>
    <w:p>
      <w:r>
        <w:rPr>
          <w:rFonts w:ascii="游ゴシック" w:hAnsi="游ゴシック"/>
          <w:b/>
          <w:sz w:val="20"/>
        </w:rPr>
        <w:t>④ マスターカード（MA）</w:t>
      </w:r>
    </w:p>
    <w:p>
      <w:r>
        <w:rPr>
          <w:rFonts w:ascii="游ゴシック" w:hAnsi="游ゴシック"/>
          <w:b/>
          <w:sz w:val="20"/>
        </w:rPr>
        <w:t>⑤ マーベル・テクノロジー（MRVL）</w:t>
      </w:r>
    </w:p>
    <w:p>
      <w:r>
        <w:rPr>
          <w:rFonts w:ascii="游ゴシック" w:hAnsi="游ゴシック"/>
          <w:b/>
          <w:sz w:val="20"/>
        </w:rPr>
        <w:t>⑥ フェデックス（FDX）</w:t>
      </w:r>
    </w:p>
    <w:p>
      <w:r>
        <w:rPr>
          <w:rFonts w:ascii="游ゴシック" w:hAnsi="游ゴシック"/>
          <w:b/>
          <w:sz w:val="20"/>
        </w:rPr>
        <w:t>⑦ モノリシック・パワー・システムズ（MPWR）</w:t>
      </w:r>
    </w:p>
    <w:p>
      <w:r>
        <w:rPr>
          <w:rFonts w:ascii="游ゴシック" w:hAnsi="游ゴシック"/>
          <w:b/>
          <w:sz w:val="20"/>
        </w:rPr>
        <w:t>⑧ シエナ（CIEN）</w:t>
      </w:r>
    </w:p>
    <w:p>
      <w:r>
        <w:rPr>
          <w:rFonts w:ascii="游ゴシック" w:hAnsi="游ゴシック"/>
          <w:b/>
          <w:sz w:val="20"/>
        </w:rPr>
        <w:t>⑨ クレド・テクノロジー（CRDO）</w:t>
      </w:r>
    </w:p>
    <w:p>
      <w:r>
        <w:rPr>
          <w:rFonts w:ascii="游ゴシック" w:hAnsi="游ゴシック"/>
          <w:b/>
          <w:sz w:val="20"/>
        </w:rPr>
        <w:t>⑩ オートデスク（ADSK）</w:t>
      </w:r>
    </w:p>
    <w:p>
      <w:r>
        <w:br w:type="page"/>
      </w:r>
    </w:p>
    <w:p>
      <w:pPr>
        <w:spacing w:after="80"/>
      </w:pPr>
      <w:r>
        <w:rPr>
          <w:rFonts w:ascii="游ゴシック" w:hAnsi="游ゴシック"/>
          <w:b/>
          <w:sz w:val="24"/>
        </w:rPr>
        <w:t>① アマゾン・ドットコム（AMZN）</w:t>
      </w:r>
    </w:p>
    <w:p>
      <w:pPr>
        <w:spacing w:after="40"/>
      </w:pPr>
      <w:r>
        <w:rPr>
          <w:rFonts w:ascii="游ゴシック" w:hAnsi="游ゴシック"/>
          <w:sz w:val="20"/>
        </w:rPr>
        <w:t>・3つの事業セグメント（北米、インターナショナル、AWS）による多角的収益基盤が競争優位性の源泉。特にクラウド事業AWSは営業利益の大半を占める高収益部門であり、生成AI需要の拡大を背景とした持続的成長エンジン。世界最大級のEコマース網と物流インフラを組み合わせた強固な参入障壁の構築。</w:t>
      </w:r>
    </w:p>
    <w:p>
      <w:pPr>
        <w:spacing w:after="40"/>
      </w:pPr>
      <w:r>
        <w:rPr>
          <w:rFonts w:ascii="游ゴシック" w:hAnsi="游ゴシック"/>
          <w:sz w:val="20"/>
        </w:rPr>
        <w:t>・直近実績におけるROE23.34%、ROA9.91%と、大規模資本を擁する小売企業として良好な資本効率。利益率12.22%は物流効率化とAWSの高採算構造の寄与による収益性改善の証左。北米・インターナショナル両セグメントの利益率向上余地と、広告事業の急成長が今後の利益押し上げ要因。</w:t>
      </w:r>
    </w:p>
    <w:p>
      <w:pPr>
        <w:spacing w:after="40"/>
      </w:pPr>
      <w:r>
        <w:rPr>
          <w:rFonts w:ascii="游ゴシック" w:hAnsi="游ゴシック"/>
          <w:sz w:val="20"/>
        </w:rPr>
        <w:t>・生成AI関連投資の本格化に伴うAWSの需要拡大が中期的な最大の成長ドライバー。データセンター増強と独自AIチップ開発による差別化戦略の推進。加えて高マージンな広告事業とプライム会員基盤の拡大が、収益構造の質的向上をもたらす複合成長シナリオ。</w:t>
      </w:r>
    </w:p>
    <w:p>
      <w:pPr>
        <w:spacing w:after="40"/>
      </w:pPr>
      <w:r>
        <w:rPr>
          <w:rFonts w:ascii="游ゴシック" w:hAnsi="游ゴシック"/>
          <w:sz w:val="20"/>
        </w:rPr>
        <w:t>・予想PER24.66倍（Non-GAAPベース）は、AWSの成長性と広告事業の高収益性を勘案すれば正当化可能な水準。時価総額2,626億ドル規模ながら依然として拡大余地の大きいクラウド・AI市場へのエクスポージャー。長期的な株主価値創出を見据えた投資妙味の高い大型グロース銘柄。</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2,626億＄</w:t>
            </w:r>
          </w:p>
        </w:tc>
        <w:tc>
          <w:tcPr>
            <w:tcW w:type="dxa" w:w="2126"/>
            <w:vAlign w:val="center"/>
          </w:tcPr>
          <w:p>
            <w:pPr>
              <w:spacing w:before="0" w:after="0"/>
              <w:jc w:val="center"/>
            </w:pPr>
            <w:r>
              <w:rPr>
                <w:rFonts w:ascii="游ゴシック" w:hAnsi="游ゴシック"/>
                <w:sz w:val="18"/>
              </w:rPr>
              <w:t>ROE: 23.34%</w:t>
            </w:r>
          </w:p>
        </w:tc>
        <w:tc>
          <w:tcPr>
            <w:tcW w:type="dxa" w:w="2126"/>
            <w:vAlign w:val="center"/>
          </w:tcPr>
          <w:p>
            <w:pPr>
              <w:spacing w:before="0" w:after="0"/>
              <w:jc w:val="center"/>
            </w:pPr>
            <w:r>
              <w:rPr>
                <w:rFonts w:ascii="游ゴシック" w:hAnsi="游ゴシック"/>
                <w:sz w:val="18"/>
              </w:rPr>
              <w:t>ROA: 9.91%</w:t>
            </w:r>
          </w:p>
        </w:tc>
        <w:tc>
          <w:tcPr>
            <w:tcW w:type="dxa" w:w="2126"/>
            <w:vAlign w:val="center"/>
          </w:tcPr>
          <w:p>
            <w:pPr>
              <w:spacing w:before="0" w:after="0"/>
              <w:jc w:val="center"/>
            </w:pPr>
            <w:r>
              <w:rPr>
                <w:rFonts w:ascii="游ゴシック" w:hAnsi="游ゴシック"/>
                <w:sz w:val="18"/>
              </w:rPr>
              <w:t>PER: 24.66倍</w:t>
            </w:r>
          </w:p>
        </w:tc>
      </w:tr>
    </w:tbl>
    <w:p>
      <w:pPr>
        <w:jc w:val="center"/>
      </w:pPr>
      <w:r>
        <w:drawing>
          <wp:inline xmlns:a="http://schemas.openxmlformats.org/drawingml/2006/main" xmlns:pic="http://schemas.openxmlformats.org/drawingml/2006/picture">
            <wp:extent cx="5486400" cy="2805388"/>
            <wp:docPr id="1" name="Picture 1"/>
            <wp:cNvGraphicFramePr>
              <a:graphicFrameLocks noChangeAspect="1"/>
            </wp:cNvGraphicFramePr>
            <a:graphic>
              <a:graphicData uri="http://schemas.openxmlformats.org/drawingml/2006/picture">
                <pic:pic>
                  <pic:nvPicPr>
                    <pic:cNvPr id="0" name="chart_AMZN.png"/>
                    <pic:cNvPicPr/>
                  </pic:nvPicPr>
                  <pic:blipFill>
                    <a:blip r:embed="rId12"/>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② ブロードコム（AVGO）</w:t>
      </w:r>
    </w:p>
    <w:p>
      <w:pPr>
        <w:spacing w:after="40"/>
      </w:pPr>
      <w:r>
        <w:rPr>
          <w:rFonts w:ascii="游ゴシック" w:hAnsi="游ゴシック"/>
          <w:sz w:val="20"/>
        </w:rPr>
        <w:t>・半導体とインフラソフトウェアの両輪による事業基盤。有線インフラ、無線通信、エンタープライズストレージ、産業用の4事業を展開し、ネットワーキング半導体で高い市場シェアを確立。VMware買収を通じたソフトウェア事業の拡大により、景気循環に左右されにくい収益構造の構築。売上高利益率38.85%と業界屈指の高採算体質を誇る点が競争優位の源泉。</w:t>
      </w:r>
    </w:p>
    <w:p>
      <w:pPr>
        <w:spacing w:after="40"/>
      </w:pPr>
      <w:r>
        <w:rPr>
          <w:rFonts w:ascii="游ゴシック" w:hAnsi="游ゴシック"/>
          <w:sz w:val="20"/>
        </w:rPr>
        <w:t>・生成AI需要を捉えたデータセンター向け半導体が最大の成長ドライバー。カスタムAIアクセラレーター（ASIC）と高速ネットワーキングチップの需要拡大により、AI関連売上の急伸。ハイパースケーラー各社のAIインフラ投資拡大が中長期の追い風。大規模言語モデル向け通信半導体での確固たる地位が、今後数年の収益成長を牽引する見込み。</w:t>
      </w:r>
    </w:p>
    <w:p>
      <w:pPr>
        <w:spacing w:after="40"/>
      </w:pPr>
      <w:r>
        <w:rPr>
          <w:rFonts w:ascii="游ゴシック" w:hAnsi="游ゴシック"/>
          <w:sz w:val="20"/>
        </w:rPr>
        <w:t>・株主資本を効率的に活用する高収益性。ROE36.40%、ROA16.36%と資本効率の高さが際立ち、安定した現金創出力を背景とした積極的な株主還元。継続的な増配と自社株買いにより、株主価値の向上を志向する経営姿勢。買収を通じた事業拡大と財務規律の両立が評価ポイント。</w:t>
      </w:r>
    </w:p>
    <w:p>
      <w:pPr>
        <w:spacing w:after="40"/>
      </w:pPr>
      <w:r>
        <w:rPr>
          <w:rFonts w:ascii="游ゴシック" w:hAnsi="游ゴシック"/>
          <w:sz w:val="20"/>
        </w:rPr>
        <w:t>・予想PER19.28倍（Non-GAAPベース、SBC・買収関連費用等を除外）というバリュエーション水準。AI半導体の成長期待を勘案すれば、他の大型テック銘柄と比較して相対的に割安感の残る評価。ソフトウェア事業の安定収益とAI需要による成長性の両面を持つ点が投資妙味。中長期の成長余地を踏まえた妥当な水準との見方。</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1,779億＄</w:t>
            </w:r>
          </w:p>
        </w:tc>
        <w:tc>
          <w:tcPr>
            <w:tcW w:type="dxa" w:w="2126"/>
            <w:vAlign w:val="center"/>
          </w:tcPr>
          <w:p>
            <w:pPr>
              <w:spacing w:before="0" w:after="0"/>
              <w:jc w:val="center"/>
            </w:pPr>
            <w:r>
              <w:rPr>
                <w:rFonts w:ascii="游ゴシック" w:hAnsi="游ゴシック"/>
                <w:sz w:val="18"/>
              </w:rPr>
              <w:t>ROE: 36.40%</w:t>
            </w:r>
          </w:p>
        </w:tc>
        <w:tc>
          <w:tcPr>
            <w:tcW w:type="dxa" w:w="2126"/>
            <w:vAlign w:val="center"/>
          </w:tcPr>
          <w:p>
            <w:pPr>
              <w:spacing w:before="0" w:after="0"/>
              <w:jc w:val="center"/>
            </w:pPr>
            <w:r>
              <w:rPr>
                <w:rFonts w:ascii="游ゴシック" w:hAnsi="游ゴシック"/>
                <w:sz w:val="18"/>
              </w:rPr>
              <w:t>ROA: 16.36%</w:t>
            </w:r>
          </w:p>
        </w:tc>
        <w:tc>
          <w:tcPr>
            <w:tcW w:type="dxa" w:w="2126"/>
            <w:vAlign w:val="center"/>
          </w:tcPr>
          <w:p>
            <w:pPr>
              <w:spacing w:before="0" w:after="0"/>
              <w:jc w:val="center"/>
            </w:pPr>
            <w:r>
              <w:rPr>
                <w:rFonts w:ascii="游ゴシック" w:hAnsi="游ゴシック"/>
                <w:sz w:val="18"/>
              </w:rPr>
              <w:t>PER: 19.28倍</w:t>
            </w:r>
          </w:p>
        </w:tc>
      </w:tr>
    </w:tbl>
    <w:p>
      <w:pPr>
        <w:jc w:val="center"/>
      </w:pPr>
      <w:r>
        <w:drawing>
          <wp:inline xmlns:a="http://schemas.openxmlformats.org/drawingml/2006/main" xmlns:pic="http://schemas.openxmlformats.org/drawingml/2006/picture">
            <wp:extent cx="5486400" cy="2805388"/>
            <wp:docPr id="2" name="Picture 2"/>
            <wp:cNvGraphicFramePr>
              <a:graphicFrameLocks noChangeAspect="1"/>
            </wp:cNvGraphicFramePr>
            <a:graphic>
              <a:graphicData uri="http://schemas.openxmlformats.org/drawingml/2006/picture">
                <pic:pic>
                  <pic:nvPicPr>
                    <pic:cNvPr id="0" name="chart_AVGO.png"/>
                    <pic:cNvPicPr/>
                  </pic:nvPicPr>
                  <pic:blipFill>
                    <a:blip r:embed="rId13"/>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③ ジョンソン・エンド・ジョンソン（JNJ）</w:t>
      </w:r>
    </w:p>
    <w:p>
      <w:pPr>
        <w:spacing w:after="40"/>
      </w:pPr>
      <w:r>
        <w:rPr>
          <w:rFonts w:ascii="游ゴシック" w:hAnsi="游ゴシック"/>
          <w:sz w:val="20"/>
        </w:rPr>
        <w:t>・医薬品のInnovative MedicineとMedTechの2セグメント体制による盤石な事業基盤。免疫・腫瘍・神経科学など幅広い治療領域と、外科・整形外科・ビジョン分野の医療機器を擁する多角化ポートフォリオ。ヘルスケア業界屈指の総合力と製品分散による景気耐性の高さが競争優位性の源泉。2025年時点で21.83%の高い利益率も特筆すべき収益力。</w:t>
      </w:r>
    </w:p>
    <w:p>
      <w:pPr>
        <w:spacing w:after="40"/>
      </w:pPr>
      <w:r>
        <w:rPr>
          <w:rFonts w:ascii="游ゴシック" w:hAnsi="游ゴシック"/>
          <w:sz w:val="20"/>
        </w:rPr>
        <w:t>・成長ドライバーは腫瘍領域を中心とするInnovative Medicineの新薬拡大と、MedTech部門の外科・心血管インターベンション分野。買収を通じた製品ラインの強化と豊富な開発パイプラインが中長期的な成長を下支え。高齢化進展に伴うヘルスケア需要の構造的拡大が追い風となる事業環境。</w:t>
      </w:r>
    </w:p>
    <w:p>
      <w:pPr>
        <w:spacing w:after="40"/>
      </w:pPr>
      <w:r>
        <w:rPr>
          <w:rFonts w:ascii="游ゴシック" w:hAnsi="游ゴシック"/>
          <w:sz w:val="20"/>
        </w:rPr>
        <w:t>・2025年時点のROE26.26%、ROA10.47%と高水準の資本効率。安定したキャッシュフロー創出力と長期にわたる連続増配実績を背景とした株主還元姿勢。ディフェンシブ銘柄としての安定性と財務健全性の両立。</w:t>
      </w:r>
    </w:p>
    <w:p>
      <w:pPr>
        <w:spacing w:after="40"/>
      </w:pPr>
      <w:r>
        <w:rPr>
          <w:rFonts w:ascii="游ゴシック" w:hAnsi="游ゴシック"/>
          <w:sz w:val="20"/>
        </w:rPr>
        <w:t>・予想PER（Non-GAAPベース）は20.37倍と、大型ヘルスケア株として妥当な水準。高収益性と安定成長を勘案すれば過度な割高感の乏しい評価。訴訟リスク等の不確実性を織り込みつつも、ディフェンシブ性と配当利回りを重視する長期投資家に適した投資妙味。</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624億＄</w:t>
            </w:r>
          </w:p>
        </w:tc>
        <w:tc>
          <w:tcPr>
            <w:tcW w:type="dxa" w:w="2126"/>
            <w:vAlign w:val="center"/>
          </w:tcPr>
          <w:p>
            <w:pPr>
              <w:spacing w:before="0" w:after="0"/>
              <w:jc w:val="center"/>
            </w:pPr>
            <w:r>
              <w:rPr>
                <w:rFonts w:ascii="游ゴシック" w:hAnsi="游ゴシック"/>
                <w:sz w:val="18"/>
              </w:rPr>
              <w:t>ROE: 26.26%</w:t>
            </w:r>
          </w:p>
        </w:tc>
        <w:tc>
          <w:tcPr>
            <w:tcW w:type="dxa" w:w="2126"/>
            <w:vAlign w:val="center"/>
          </w:tcPr>
          <w:p>
            <w:pPr>
              <w:spacing w:before="0" w:after="0"/>
              <w:jc w:val="center"/>
            </w:pPr>
            <w:r>
              <w:rPr>
                <w:rFonts w:ascii="游ゴシック" w:hAnsi="游ゴシック"/>
                <w:sz w:val="18"/>
              </w:rPr>
              <w:t>ROA: 10.47%</w:t>
            </w:r>
          </w:p>
        </w:tc>
        <w:tc>
          <w:tcPr>
            <w:tcW w:type="dxa" w:w="2126"/>
            <w:vAlign w:val="center"/>
          </w:tcPr>
          <w:p>
            <w:pPr>
              <w:spacing w:before="0" w:after="0"/>
              <w:jc w:val="center"/>
            </w:pPr>
            <w:r>
              <w:rPr>
                <w:rFonts w:ascii="游ゴシック" w:hAnsi="游ゴシック"/>
                <w:sz w:val="18"/>
              </w:rPr>
              <w:t>PER: 20.37倍</w:t>
            </w:r>
          </w:p>
        </w:tc>
      </w:tr>
    </w:tbl>
    <w:p>
      <w:pPr>
        <w:jc w:val="center"/>
      </w:pPr>
      <w:r>
        <w:drawing>
          <wp:inline xmlns:a="http://schemas.openxmlformats.org/drawingml/2006/main" xmlns:pic="http://schemas.openxmlformats.org/drawingml/2006/picture">
            <wp:extent cx="5486400" cy="2805388"/>
            <wp:docPr id="3" name="Picture 3"/>
            <wp:cNvGraphicFramePr>
              <a:graphicFrameLocks noChangeAspect="1"/>
            </wp:cNvGraphicFramePr>
            <a:graphic>
              <a:graphicData uri="http://schemas.openxmlformats.org/drawingml/2006/picture">
                <pic:pic>
                  <pic:nvPicPr>
                    <pic:cNvPr id="0" name="chart_JNJ.png"/>
                    <pic:cNvPicPr/>
                  </pic:nvPicPr>
                  <pic:blipFill>
                    <a:blip r:embed="rId14"/>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④ マスターカード（MA）</w:t>
      </w:r>
    </w:p>
    <w:p>
      <w:pPr>
        <w:spacing w:after="40"/>
      </w:pPr>
      <w:r>
        <w:rPr>
          <w:rFonts w:ascii="游ゴシック" w:hAnsi="游ゴシック"/>
          <w:sz w:val="20"/>
        </w:rPr>
        <w:t>・世界2大決済ネットワークの一角として、オーソリゼーション・クリアリング・セトルメントを担う堅固なビジネスモデルと、現金決済からデジタル決済への構造的シフトを追い風とした強固なネットワーク効果が競争優位の源泉。直近実績における利益率45.88%は、資本負担の軽いトランザクション課金型モデルに裏打ちされた業界屈指の高収益性。参入障壁の高さと寡占構造が中長期的な超過収益力を支える構図。</w:t>
      </w:r>
    </w:p>
    <w:p>
      <w:pPr>
        <w:spacing w:after="40"/>
      </w:pPr>
      <w:r>
        <w:rPr>
          <w:rFonts w:ascii="游ゴシック" w:hAnsi="游ゴシック"/>
          <w:sz w:val="20"/>
        </w:rPr>
        <w:t>・ROE206.12%、ROA29.69%という卓越した資本効率は、少ない有形資産で高付加価値サービスを展開する同社ビジネスの本質を象徴。バリュー・アディッド・サービス（不正検知・データ分析・コンサルティング等）の拡大が、決済処理量に依存しない新たな収益ドライバーとして寄与する見通し。クロスボーダー取引の回復も追加的な成長余地。</w:t>
      </w:r>
    </w:p>
    <w:p>
      <w:pPr>
        <w:spacing w:after="40"/>
      </w:pPr>
      <w:r>
        <w:rPr>
          <w:rFonts w:ascii="游ゴシック" w:hAnsi="游ゴシック"/>
          <w:sz w:val="20"/>
        </w:rPr>
        <w:t>・予想PER23.40倍（Non-GAAPベース、SBC・買収関連費用等除外）は、決済業界の高成長・高収益プレミアムを織り込んだ水準ながら、過去のバリュエーションレンジと比較して過度な割高感は限定的との評価。安定的なキャッシュフロー創出力と積極的な自社株買いを背景に、長期保有に適した優良コンパウンダーとしての位置づけ。</w:t>
      </w:r>
    </w:p>
    <w:p>
      <w:pPr>
        <w:spacing w:after="40"/>
      </w:pPr>
      <w:r>
        <w:rPr>
          <w:rFonts w:ascii="游ゴシック" w:hAnsi="游ゴシック"/>
          <w:sz w:val="20"/>
        </w:rPr>
        <w:t>・新興国における現金決済比率の高さを踏まえれば、デジタル決済の浸透余地は依然として大きく、グローバルな決済市場拡大の恩恵を享受しうる展開。リアルタイム決済・オープンバンキング・暗号資産関連インフラへの投資が次世代成長の布石。景気減速や規制強化がリスク要因ながら、防御的かつ成長性を兼ね備えたクオリティ銘柄。</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471億＄</w:t>
            </w:r>
          </w:p>
        </w:tc>
        <w:tc>
          <w:tcPr>
            <w:tcW w:type="dxa" w:w="2126"/>
            <w:vAlign w:val="center"/>
          </w:tcPr>
          <w:p>
            <w:pPr>
              <w:spacing w:before="0" w:after="0"/>
              <w:jc w:val="center"/>
            </w:pPr>
            <w:r>
              <w:rPr>
                <w:rFonts w:ascii="游ゴシック" w:hAnsi="游ゴシック"/>
                <w:sz w:val="18"/>
              </w:rPr>
              <w:t>ROE: 206.12%</w:t>
            </w:r>
          </w:p>
        </w:tc>
        <w:tc>
          <w:tcPr>
            <w:tcW w:type="dxa" w:w="2126"/>
            <w:vAlign w:val="center"/>
          </w:tcPr>
          <w:p>
            <w:pPr>
              <w:spacing w:before="0" w:after="0"/>
              <w:jc w:val="center"/>
            </w:pPr>
            <w:r>
              <w:rPr>
                <w:rFonts w:ascii="游ゴシック" w:hAnsi="游ゴシック"/>
                <w:sz w:val="18"/>
              </w:rPr>
              <w:t>ROA: 29.69%</w:t>
            </w:r>
          </w:p>
        </w:tc>
        <w:tc>
          <w:tcPr>
            <w:tcW w:type="dxa" w:w="2126"/>
            <w:vAlign w:val="center"/>
          </w:tcPr>
          <w:p>
            <w:pPr>
              <w:spacing w:before="0" w:after="0"/>
              <w:jc w:val="center"/>
            </w:pPr>
            <w:r>
              <w:rPr>
                <w:rFonts w:ascii="游ゴシック" w:hAnsi="游ゴシック"/>
                <w:sz w:val="18"/>
              </w:rPr>
              <w:t>PER: 23.40倍</w:t>
            </w:r>
          </w:p>
        </w:tc>
      </w:tr>
    </w:tbl>
    <w:p>
      <w:pPr>
        <w:jc w:val="center"/>
      </w:pPr>
      <w:r>
        <w:drawing>
          <wp:inline xmlns:a="http://schemas.openxmlformats.org/drawingml/2006/main" xmlns:pic="http://schemas.openxmlformats.org/drawingml/2006/picture">
            <wp:extent cx="5486400" cy="2805388"/>
            <wp:docPr id="4" name="Picture 4"/>
            <wp:cNvGraphicFramePr>
              <a:graphicFrameLocks noChangeAspect="1"/>
            </wp:cNvGraphicFramePr>
            <a:graphic>
              <a:graphicData uri="http://schemas.openxmlformats.org/drawingml/2006/picture">
                <pic:pic>
                  <pic:nvPicPr>
                    <pic:cNvPr id="0" name="chart_MA.png"/>
                    <pic:cNvPicPr/>
                  </pic:nvPicPr>
                  <pic:blipFill>
                    <a:blip r:embed="rId15"/>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⑤ マーベル・テクノロジー（MRVL）</w:t>
      </w:r>
    </w:p>
    <w:p>
      <w:pPr>
        <w:spacing w:after="40"/>
      </w:pPr>
      <w:r>
        <w:rPr>
          <w:rFonts w:ascii="游ゴシック" w:hAnsi="游ゴシック"/>
          <w:sz w:val="20"/>
        </w:rPr>
        <w:t>・データセンター向けカスタムシリコン（ASIC）と光通信・電気接続ソリューションを中核とするデータインフラ半導体の有力プレーヤー。アナログ・ミックスドシグナル・DSPを統合したSoC設計技術と、大手クラウド事業者との深い協業関係が競争優位性の源泉。直近四半期（2026年度Q2、2025年8月終了）の売上高は前年同期比58%増の約20億ドルと力強い伸長。</w:t>
      </w:r>
    </w:p>
    <w:p>
      <w:pPr>
        <w:spacing w:after="40"/>
      </w:pPr>
      <w:r>
        <w:rPr>
          <w:rFonts w:ascii="游ゴシック" w:hAnsi="游ゴシック"/>
          <w:sz w:val="20"/>
        </w:rPr>
        <w:t>・最大の成長ドライバーはAI関連需要であり、ハイパースケーラー向けカスタムAIアクセラレーターおよび電気光学接続製品が急拡大。データセンター部門は2026年度Q2に全社売上の約7割超を占める中核へと成長。同社が示すデータセンターTAMは2028年に約940億ドル規模との見通しで、中長期の成長余地の大きさ。</w:t>
      </w:r>
    </w:p>
    <w:p>
      <w:pPr>
        <w:spacing w:after="40"/>
      </w:pPr>
      <w:r>
        <w:rPr>
          <w:rFonts w:ascii="游ゴシック" w:hAnsi="游ゴシック"/>
          <w:sz w:val="20"/>
        </w:rPr>
        <w:t>・利益率は28.99%と良好な水準を確保し、ROE16.84%・ROA9.38%と資本効率も着実な改善傾向。カスタムシリコン案件の積み上げによる収益基盤の安定化と、高付加価値製品への構成シフトが利益成長を後押しする構図。</w:t>
      </w:r>
    </w:p>
    <w:p>
      <w:pPr>
        <w:spacing w:after="40"/>
      </w:pPr>
      <w:r>
        <w:rPr>
          <w:rFonts w:ascii="游ゴシック" w:hAnsi="游ゴシック"/>
          <w:sz w:val="20"/>
        </w:rPr>
        <w:t>・予想PER（Non-GAAPベース）は40.35倍と半導体セクター平均を上回るプレミアム評価。AI需要を背景とした高成長期待を織り込んだ株価水準ゆえ、受注動向や顧客集中リスクには留意が必要。ただしカスタムAIシリコンの構造的成長を勘案すれば、中長期投資妙味の残る銘柄。</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218億＄</w:t>
            </w:r>
          </w:p>
        </w:tc>
        <w:tc>
          <w:tcPr>
            <w:tcW w:type="dxa" w:w="2126"/>
            <w:vAlign w:val="center"/>
          </w:tcPr>
          <w:p>
            <w:pPr>
              <w:spacing w:before="0" w:after="0"/>
              <w:jc w:val="center"/>
            </w:pPr>
            <w:r>
              <w:rPr>
                <w:rFonts w:ascii="游ゴシック" w:hAnsi="游ゴシック"/>
                <w:sz w:val="18"/>
              </w:rPr>
              <w:t>ROE: 16.84%</w:t>
            </w:r>
          </w:p>
        </w:tc>
        <w:tc>
          <w:tcPr>
            <w:tcW w:type="dxa" w:w="2126"/>
            <w:vAlign w:val="center"/>
          </w:tcPr>
          <w:p>
            <w:pPr>
              <w:spacing w:before="0" w:after="0"/>
              <w:jc w:val="center"/>
            </w:pPr>
            <w:r>
              <w:rPr>
                <w:rFonts w:ascii="游ゴシック" w:hAnsi="游ゴシック"/>
                <w:sz w:val="18"/>
              </w:rPr>
              <w:t>ROA: 9.38%</w:t>
            </w:r>
          </w:p>
        </w:tc>
        <w:tc>
          <w:tcPr>
            <w:tcW w:type="dxa" w:w="2126"/>
            <w:vAlign w:val="center"/>
          </w:tcPr>
          <w:p>
            <w:pPr>
              <w:spacing w:before="0" w:after="0"/>
              <w:jc w:val="center"/>
            </w:pPr>
            <w:r>
              <w:rPr>
                <w:rFonts w:ascii="游ゴシック" w:hAnsi="游ゴシック"/>
                <w:sz w:val="18"/>
              </w:rPr>
              <w:t>PER: 40.35倍</w:t>
            </w:r>
          </w:p>
        </w:tc>
      </w:tr>
    </w:tbl>
    <w:p>
      <w:pPr>
        <w:jc w:val="center"/>
      </w:pPr>
      <w:r>
        <w:drawing>
          <wp:inline xmlns:a="http://schemas.openxmlformats.org/drawingml/2006/main" xmlns:pic="http://schemas.openxmlformats.org/drawingml/2006/picture">
            <wp:extent cx="5486400" cy="2805388"/>
            <wp:docPr id="5" name="Picture 5"/>
            <wp:cNvGraphicFramePr>
              <a:graphicFrameLocks noChangeAspect="1"/>
            </wp:cNvGraphicFramePr>
            <a:graphic>
              <a:graphicData uri="http://schemas.openxmlformats.org/drawingml/2006/picture">
                <pic:pic>
                  <pic:nvPicPr>
                    <pic:cNvPr id="0" name="chart_MRVL.png"/>
                    <pic:cNvPicPr/>
                  </pic:nvPicPr>
                  <pic:blipFill>
                    <a:blip r:embed="rId16"/>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⑥ フェデックス（FDX）</w:t>
      </w:r>
    </w:p>
    <w:p>
      <w:pPr>
        <w:spacing w:after="40"/>
      </w:pPr>
      <w:r>
        <w:rPr>
          <w:rFonts w:ascii="游ゴシック" w:hAnsi="游ゴシック"/>
          <w:sz w:val="20"/>
        </w:rPr>
        <w:t>・FedExは航空・陸上輸送を統合するグローバル物流大手として、FedEx Express、Ground、Freightの各セグメントを軸に広範な配送ネットワークを構築。時間指定配送や越境ロジスティクスにおける高い参入障壁と、世界規模の配送インフラが競争優位性の源泉。eコマース拡大を背景とした構造的な物流需要が中長期の下支え要因。</w:t>
      </w:r>
    </w:p>
    <w:p>
      <w:pPr>
        <w:spacing w:after="40"/>
      </w:pPr>
      <w:r>
        <w:rPr>
          <w:rFonts w:ascii="游ゴシック" w:hAnsi="游ゴシック"/>
          <w:sz w:val="20"/>
        </w:rPr>
        <w:t>・収益性はROE15.11%、ROA4.48%、直近の純利益率4.68%と、資本効率で一定の水準を確保する一方、利益率は薄利多売型の物流業界特性を反映。コスト削減プログラム「DRIVE」による構造改革を通じたマージン改善余地が、収益性向上に向けた主要ドライバー。</w:t>
      </w:r>
    </w:p>
    <w:p>
      <w:pPr>
        <w:spacing w:after="40"/>
      </w:pPr>
      <w:r>
        <w:rPr>
          <w:rFonts w:ascii="游ゴシック" w:hAnsi="游ゴシック"/>
          <w:sz w:val="20"/>
        </w:rPr>
        <w:t>・成長ドライバーとしては、Freight部門の分離・独立に伴う事業ポートフォリオ最適化、および高採算な特急・越境配送への注力が焦点。産業需要の回復と国際貨物量の持ち直しが売上拡大の鍵。ネットワーク効率化による営業レバレッジ改善への期待。</w:t>
      </w:r>
    </w:p>
    <w:p>
      <w:pPr>
        <w:spacing w:after="40"/>
      </w:pPr>
      <w:r>
        <w:rPr>
          <w:rFonts w:ascii="游ゴシック" w:hAnsi="游ゴシック"/>
          <w:sz w:val="20"/>
        </w:rPr>
        <w:t>・バリュエーションは予想PER15.01倍（Non-GAAPベース）と、市場平均対比で割安感のある水準。時価総額74億ドルの規模と安定したキャッシュフロー創出力を踏まえ、構造改革の進展と株主還元強化が株価再評価の触媒となる可能性。景気循環リスクには留意が必要な局面。</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74億＄</w:t>
            </w:r>
          </w:p>
        </w:tc>
        <w:tc>
          <w:tcPr>
            <w:tcW w:type="dxa" w:w="2126"/>
            <w:vAlign w:val="center"/>
          </w:tcPr>
          <w:p>
            <w:pPr>
              <w:spacing w:before="0" w:after="0"/>
              <w:jc w:val="center"/>
            </w:pPr>
            <w:r>
              <w:rPr>
                <w:rFonts w:ascii="游ゴシック" w:hAnsi="游ゴシック"/>
                <w:sz w:val="18"/>
              </w:rPr>
              <w:t>ROE: 15.11%</w:t>
            </w:r>
          </w:p>
        </w:tc>
        <w:tc>
          <w:tcPr>
            <w:tcW w:type="dxa" w:w="2126"/>
            <w:vAlign w:val="center"/>
          </w:tcPr>
          <w:p>
            <w:pPr>
              <w:spacing w:before="0" w:after="0"/>
              <w:jc w:val="center"/>
            </w:pPr>
            <w:r>
              <w:rPr>
                <w:rFonts w:ascii="游ゴシック" w:hAnsi="游ゴシック"/>
                <w:sz w:val="18"/>
              </w:rPr>
              <w:t>ROA: 4.48%</w:t>
            </w:r>
          </w:p>
        </w:tc>
        <w:tc>
          <w:tcPr>
            <w:tcW w:type="dxa" w:w="2126"/>
            <w:vAlign w:val="center"/>
          </w:tcPr>
          <w:p>
            <w:pPr>
              <w:spacing w:before="0" w:after="0"/>
              <w:jc w:val="center"/>
            </w:pPr>
            <w:r>
              <w:rPr>
                <w:rFonts w:ascii="游ゴシック" w:hAnsi="游ゴシック"/>
                <w:sz w:val="18"/>
              </w:rPr>
              <w:t>PER: 15.01倍</w:t>
            </w:r>
          </w:p>
        </w:tc>
      </w:tr>
    </w:tbl>
    <w:p>
      <w:pPr>
        <w:jc w:val="center"/>
      </w:pPr>
      <w:r>
        <w:drawing>
          <wp:inline xmlns:a="http://schemas.openxmlformats.org/drawingml/2006/main" xmlns:pic="http://schemas.openxmlformats.org/drawingml/2006/picture">
            <wp:extent cx="5486400" cy="2805388"/>
            <wp:docPr id="6" name="Picture 6"/>
            <wp:cNvGraphicFramePr>
              <a:graphicFrameLocks noChangeAspect="1"/>
            </wp:cNvGraphicFramePr>
            <a:graphic>
              <a:graphicData uri="http://schemas.openxmlformats.org/drawingml/2006/picture">
                <pic:pic>
                  <pic:nvPicPr>
                    <pic:cNvPr id="0" name="chart_FDX.png"/>
                    <pic:cNvPicPr/>
                  </pic:nvPicPr>
                  <pic:blipFill>
                    <a:blip r:embed="rId17"/>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⑦ モノリシック・パワー・システムズ（MPWR）</w:t>
      </w:r>
    </w:p>
    <w:p>
      <w:pPr>
        <w:spacing w:after="40"/>
      </w:pPr>
      <w:r>
        <w:rPr>
          <w:rFonts w:ascii="游ゴシック" w:hAnsi="游ゴシック"/>
          <w:sz w:val="20"/>
        </w:rPr>
        <w:t>・電源管理半導体に特化したファブレスメーカーとして、DC-DCコンバータICを中核に据えた事業構造。情報技術、データストレージ、自動車、産業機器、通信、民生機器と幅広いエンドマーケットへの分散展開により、特定市場の変動リスクを抑制する収益基盤。独自のアナログ設計技術と高集積化ノウハウを武器とした競争優位性。直近時点の利益率22.84%と高水準の収益力</w:t>
      </w:r>
    </w:p>
    <w:p>
      <w:pPr>
        <w:spacing w:after="40"/>
      </w:pPr>
      <w:r>
        <w:rPr>
          <w:rFonts w:ascii="游ゴシック" w:hAnsi="游ゴシック"/>
          <w:sz w:val="20"/>
        </w:rPr>
        <w:t>・成長ドライバーはAIデータセンター向け電源ソリューションと車載電動化領域。生成AI普及に伴うサーバー電力密度の上昇が高効率電源ICの需要を押し上げる構図で、同社の高付加価値製品への追い風。EV・ADAS向け車載半導体も中長期の成長エンジンとして期待される領域。時価総額66億ドル規模ながら拡大余地の大きい成長市場での存在感</w:t>
      </w:r>
    </w:p>
    <w:p>
      <w:pPr>
        <w:spacing w:after="40"/>
      </w:pPr>
      <w:r>
        <w:rPr>
          <w:rFonts w:ascii="游ゴシック" w:hAnsi="游ゴシック"/>
          <w:sz w:val="20"/>
        </w:rPr>
        <w:t>・収益性指標は良好で、直近のROE19.05%、ROA15.18%と資産効率・株主資本効率ともに堅調な水準。ファブレスモデルによる資本効率の高さと高利益率が両立した財務体質。設備投資負担の軽さを背景とした潤沢なキャッシュ創出力</w:t>
      </w:r>
    </w:p>
    <w:p>
      <w:pPr>
        <w:spacing w:after="40"/>
      </w:pPr>
      <w:r>
        <w:rPr>
          <w:rFonts w:ascii="游ゴシック" w:hAnsi="游ゴシック"/>
          <w:sz w:val="20"/>
        </w:rPr>
        <w:t>・バリュエーション面ではNon-GAAPベースの予想PERが44.38倍と、市場平均を大きく上回るプレミアム評価。AIおよび車載向け成長への高い期待が織り込まれた株価水準で、将来の成長鈍化局面では調整リスクへの留意も必要。高成長の持続性と割高な株価水準のバランスを見極める投資判断</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66億＄</w:t>
            </w:r>
          </w:p>
        </w:tc>
        <w:tc>
          <w:tcPr>
            <w:tcW w:type="dxa" w:w="2126"/>
            <w:vAlign w:val="center"/>
          </w:tcPr>
          <w:p>
            <w:pPr>
              <w:spacing w:before="0" w:after="0"/>
              <w:jc w:val="center"/>
            </w:pPr>
            <w:r>
              <w:rPr>
                <w:rFonts w:ascii="游ゴシック" w:hAnsi="游ゴシック"/>
                <w:sz w:val="18"/>
              </w:rPr>
              <w:t>ROE: 19.05%</w:t>
            </w:r>
          </w:p>
        </w:tc>
        <w:tc>
          <w:tcPr>
            <w:tcW w:type="dxa" w:w="2126"/>
            <w:vAlign w:val="center"/>
          </w:tcPr>
          <w:p>
            <w:pPr>
              <w:spacing w:before="0" w:after="0"/>
              <w:jc w:val="center"/>
            </w:pPr>
            <w:r>
              <w:rPr>
                <w:rFonts w:ascii="游ゴシック" w:hAnsi="游ゴシック"/>
                <w:sz w:val="18"/>
              </w:rPr>
              <w:t>ROA: 15.18%</w:t>
            </w:r>
          </w:p>
        </w:tc>
        <w:tc>
          <w:tcPr>
            <w:tcW w:type="dxa" w:w="2126"/>
            <w:vAlign w:val="center"/>
          </w:tcPr>
          <w:p>
            <w:pPr>
              <w:spacing w:before="0" w:after="0"/>
              <w:jc w:val="center"/>
            </w:pPr>
            <w:r>
              <w:rPr>
                <w:rFonts w:ascii="游ゴシック" w:hAnsi="游ゴシック"/>
                <w:sz w:val="18"/>
              </w:rPr>
              <w:t>PER: 44.38倍</w:t>
            </w:r>
          </w:p>
        </w:tc>
      </w:tr>
    </w:tbl>
    <w:p>
      <w:pPr>
        <w:jc w:val="center"/>
      </w:pPr>
      <w:r>
        <w:drawing>
          <wp:inline xmlns:a="http://schemas.openxmlformats.org/drawingml/2006/main" xmlns:pic="http://schemas.openxmlformats.org/drawingml/2006/picture">
            <wp:extent cx="5486400" cy="2777404"/>
            <wp:docPr id="7" name="Picture 7"/>
            <wp:cNvGraphicFramePr>
              <a:graphicFrameLocks noChangeAspect="1"/>
            </wp:cNvGraphicFramePr>
            <a:graphic>
              <a:graphicData uri="http://schemas.openxmlformats.org/drawingml/2006/picture">
                <pic:pic>
                  <pic:nvPicPr>
                    <pic:cNvPr id="0" name="chart_MPWR.png"/>
                    <pic:cNvPicPr/>
                  </pic:nvPicPr>
                  <pic:blipFill>
                    <a:blip r:embed="rId18"/>
                    <a:stretch>
                      <a:fillRect/>
                    </a:stretch>
                  </pic:blipFill>
                  <pic:spPr>
                    <a:xfrm>
                      <a:off x="0" y="0"/>
                      <a:ext cx="5486400" cy="2777404"/>
                    </a:xfrm>
                    <a:prstGeom prst="rect"/>
                  </pic:spPr>
                </pic:pic>
              </a:graphicData>
            </a:graphic>
          </wp:inline>
        </w:drawing>
      </w:r>
    </w:p>
    <w:p>
      <w:r>
        <w:br w:type="page"/>
      </w:r>
    </w:p>
    <w:p>
      <w:pPr>
        <w:spacing w:after="80"/>
      </w:pPr>
      <w:r>
        <w:rPr>
          <w:rFonts w:ascii="游ゴシック" w:hAnsi="游ゴシック"/>
          <w:b/>
          <w:sz w:val="24"/>
        </w:rPr>
        <w:t>⑧ シエナ（CIEN）</w:t>
      </w:r>
    </w:p>
    <w:p>
      <w:pPr>
        <w:spacing w:after="40"/>
      </w:pPr>
      <w:r>
        <w:rPr>
          <w:rFonts w:ascii="游ゴシック" w:hAnsi="游ゴシック"/>
          <w:sz w:val="20"/>
        </w:rPr>
        <w:t>・光ネットワーク機器分野における技術的リーダーシップと、コヒーレント光伝送技術での高い競争優位性。通信キャリアやクラウド事業者向けに専門ハードウェア・ソフトウェア・専門サービスを統合提供するビジネスモデルにより、顧客基盤の粘着性を確保。直近実績におけるROE15.65%、ROA7.26%と、通信機器業界の中では健全な資本効率性。</w:t>
      </w:r>
    </w:p>
    <w:p>
      <w:pPr>
        <w:spacing w:after="40"/>
      </w:pPr>
      <w:r>
        <w:rPr>
          <w:rFonts w:ascii="游ゴシック" w:hAnsi="游ゴシック"/>
          <w:sz w:val="20"/>
        </w:rPr>
        <w:t>・データセンター間接続需要の拡大と生成AI普及に伴うトラフィック急増が主要な成長ドライバー。ハイパースケーラー向け光伝送ソリューション需要の構造的増加により、中長期的な受注拡大の余地。次世代800G製品ポートフォリオの投入による高付加価値領域でのシェア拡大期待。</w:t>
      </w:r>
    </w:p>
    <w:p>
      <w:pPr>
        <w:spacing w:after="40"/>
      </w:pPr>
      <w:r>
        <w:rPr>
          <w:rFonts w:ascii="游ゴシック" w:hAnsi="游ゴシック"/>
          <w:sz w:val="20"/>
        </w:rPr>
        <w:t>・予想PER45.01倍（Non-GAAPベース、SBC・買収関連費用等除外）は、直近の利益率7.87%を踏まえるとやや割高な水準。ただしAI関連光通信需要による将来的な増益期待が織り込まれた評価。時価総額61億ドルと中型規模であり、需要回復局面での利益率改善が今後のバリュエーション正当化の鍵。</w:t>
      </w:r>
    </w:p>
    <w:p>
      <w:pPr>
        <w:spacing w:after="40"/>
      </w:pPr>
      <w:r>
        <w:rPr>
          <w:rFonts w:ascii="游ゴシック" w:hAnsi="游ゴシック"/>
          <w:sz w:val="20"/>
        </w:rPr>
        <w:t>・通信インフラ市場における事業の景気敏感性と、通信キャリアの設備投資サイクルへの依存がリスク要因。一方でクラウド・AI向け需要の構造的拡大が従来型キャリア需要の変動を補完する見通し。競合との価格競争激化に対する高付加価値製品での差別化が持続的成長の前提条件。</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61億＄</w:t>
            </w:r>
          </w:p>
        </w:tc>
        <w:tc>
          <w:tcPr>
            <w:tcW w:type="dxa" w:w="2126"/>
            <w:vAlign w:val="center"/>
          </w:tcPr>
          <w:p>
            <w:pPr>
              <w:spacing w:before="0" w:after="0"/>
              <w:jc w:val="center"/>
            </w:pPr>
            <w:r>
              <w:rPr>
                <w:rFonts w:ascii="游ゴシック" w:hAnsi="游ゴシック"/>
                <w:sz w:val="18"/>
              </w:rPr>
              <w:t>ROE: 15.65%</w:t>
            </w:r>
          </w:p>
        </w:tc>
        <w:tc>
          <w:tcPr>
            <w:tcW w:type="dxa" w:w="2126"/>
            <w:vAlign w:val="center"/>
          </w:tcPr>
          <w:p>
            <w:pPr>
              <w:spacing w:before="0" w:after="0"/>
              <w:jc w:val="center"/>
            </w:pPr>
            <w:r>
              <w:rPr>
                <w:rFonts w:ascii="游ゴシック" w:hAnsi="游ゴシック"/>
                <w:sz w:val="18"/>
              </w:rPr>
              <w:t>ROA: 7.26%</w:t>
            </w:r>
          </w:p>
        </w:tc>
        <w:tc>
          <w:tcPr>
            <w:tcW w:type="dxa" w:w="2126"/>
            <w:vAlign w:val="center"/>
          </w:tcPr>
          <w:p>
            <w:pPr>
              <w:spacing w:before="0" w:after="0"/>
              <w:jc w:val="center"/>
            </w:pPr>
            <w:r>
              <w:rPr>
                <w:rFonts w:ascii="游ゴシック" w:hAnsi="游ゴシック"/>
                <w:sz w:val="18"/>
              </w:rPr>
              <w:t>PER: 45.01倍</w:t>
            </w:r>
          </w:p>
        </w:tc>
      </w:tr>
    </w:tbl>
    <w:p>
      <w:pPr>
        <w:jc w:val="center"/>
      </w:pPr>
      <w:r>
        <w:drawing>
          <wp:inline xmlns:a="http://schemas.openxmlformats.org/drawingml/2006/main" xmlns:pic="http://schemas.openxmlformats.org/drawingml/2006/picture">
            <wp:extent cx="5486400" cy="2805388"/>
            <wp:docPr id="8" name="Picture 8"/>
            <wp:cNvGraphicFramePr>
              <a:graphicFrameLocks noChangeAspect="1"/>
            </wp:cNvGraphicFramePr>
            <a:graphic>
              <a:graphicData uri="http://schemas.openxmlformats.org/drawingml/2006/picture">
                <pic:pic>
                  <pic:nvPicPr>
                    <pic:cNvPr id="0" name="chart_CIEN.png"/>
                    <pic:cNvPicPr/>
                  </pic:nvPicPr>
                  <pic:blipFill>
                    <a:blip r:embed="rId19"/>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⑨ クレド・テクノロジー（CRDO）</w:t>
      </w:r>
    </w:p>
    <w:p>
      <w:pPr>
        <w:spacing w:after="40"/>
      </w:pPr>
      <w:r>
        <w:rPr>
          <w:rFonts w:ascii="游ゴシック" w:hAnsi="游ゴシック"/>
          <w:sz w:val="20"/>
        </w:rPr>
        <w:t>・独自のSerDes（シリアライザ/デシリアライザ）技術を核に、アクティブ電気ケーブル（AEC）、光/電気イーサネット向けIC、SerDesチップレットを展開する高速接続ソリューションの専業プレイヤー。米国、メキシコ、中国本土、香港など広範なグローバル供給網を背景とした事業基盤。低消費電力と高信頼性を両立する製品ポートフォリオによる競争優位性</w:t>
      </w:r>
    </w:p>
    <w:p>
      <w:pPr>
        <w:spacing w:after="40"/>
      </w:pPr>
      <w:r>
        <w:rPr>
          <w:rFonts w:ascii="游ゴシック" w:hAnsi="游ゴシック"/>
          <w:sz w:val="20"/>
        </w:rPr>
        <w:t>・生成AI・大規模データセンターの拡大に伴う400G/800G高速接続需要が最大の成長ドライバー。ハイパースケーラー向けAEC需要の急増を追い風に、直近の利益率は35.37%と高水準を確保。AIインフラ投資の継続を背景とした中長期的な受注拡大余地</w:t>
      </w:r>
    </w:p>
    <w:p>
      <w:pPr>
        <w:spacing w:after="40"/>
      </w:pPr>
      <w:r>
        <w:rPr>
          <w:rFonts w:ascii="游ゴシック" w:hAnsi="游ゴシック"/>
          <w:sz w:val="20"/>
        </w:rPr>
        <w:t>・収益性指標は良好で、ROE31.59%、ROA20.57%と資本効率の高さを示す水準。純利益率35.37%は通信機器業界内でも上位に位置する優位性。堅牢な財務基盤に支えられた成長投資の持続性</w:t>
      </w:r>
    </w:p>
    <w:p>
      <w:pPr>
        <w:spacing w:after="40"/>
      </w:pPr>
      <w:r>
        <w:rPr>
          <w:rFonts w:ascii="游ゴシック" w:hAnsi="游ゴシック"/>
          <w:sz w:val="20"/>
        </w:rPr>
        <w:t>・予想PER（Non-GAAPベース）は29.80倍と、成長期待を織り込んだ相応の高バリュエーション。時価総額50億ドルの中型株として、AI関連データセンター市場の拡大局面における株価上昇余地。一方でAI設備投資の変動や需要鈍化に伴う業績下振れリスクへの留意</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50億＄</w:t>
            </w:r>
          </w:p>
        </w:tc>
        <w:tc>
          <w:tcPr>
            <w:tcW w:type="dxa" w:w="2126"/>
            <w:vAlign w:val="center"/>
          </w:tcPr>
          <w:p>
            <w:pPr>
              <w:spacing w:before="0" w:after="0"/>
              <w:jc w:val="center"/>
            </w:pPr>
            <w:r>
              <w:rPr>
                <w:rFonts w:ascii="游ゴシック" w:hAnsi="游ゴシック"/>
                <w:sz w:val="18"/>
              </w:rPr>
              <w:t>ROE: 31.59%</w:t>
            </w:r>
          </w:p>
        </w:tc>
        <w:tc>
          <w:tcPr>
            <w:tcW w:type="dxa" w:w="2126"/>
            <w:vAlign w:val="center"/>
          </w:tcPr>
          <w:p>
            <w:pPr>
              <w:spacing w:before="0" w:after="0"/>
              <w:jc w:val="center"/>
            </w:pPr>
            <w:r>
              <w:rPr>
                <w:rFonts w:ascii="游ゴシック" w:hAnsi="游ゴシック"/>
                <w:sz w:val="18"/>
              </w:rPr>
              <w:t>ROA: 20.57%</w:t>
            </w:r>
          </w:p>
        </w:tc>
        <w:tc>
          <w:tcPr>
            <w:tcW w:type="dxa" w:w="2126"/>
            <w:vAlign w:val="center"/>
          </w:tcPr>
          <w:p>
            <w:pPr>
              <w:spacing w:before="0" w:after="0"/>
              <w:jc w:val="center"/>
            </w:pPr>
            <w:r>
              <w:rPr>
                <w:rFonts w:ascii="游ゴシック" w:hAnsi="游ゴシック"/>
                <w:sz w:val="18"/>
              </w:rPr>
              <w:t>PER: 29.80倍</w:t>
            </w:r>
          </w:p>
        </w:tc>
      </w:tr>
    </w:tbl>
    <w:p>
      <w:pPr>
        <w:jc w:val="center"/>
      </w:pPr>
      <w:r>
        <w:drawing>
          <wp:inline xmlns:a="http://schemas.openxmlformats.org/drawingml/2006/main" xmlns:pic="http://schemas.openxmlformats.org/drawingml/2006/picture">
            <wp:extent cx="5486400" cy="2805388"/>
            <wp:docPr id="9" name="Picture 9"/>
            <wp:cNvGraphicFramePr>
              <a:graphicFrameLocks noChangeAspect="1"/>
            </wp:cNvGraphicFramePr>
            <a:graphic>
              <a:graphicData uri="http://schemas.openxmlformats.org/drawingml/2006/picture">
                <pic:pic>
                  <pic:nvPicPr>
                    <pic:cNvPr id="0" name="chart_CRDO.png"/>
                    <pic:cNvPicPr/>
                  </pic:nvPicPr>
                  <pic:blipFill>
                    <a:blip r:embed="rId20"/>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⑩ オートデスク（ADSK）</w:t>
      </w:r>
    </w:p>
    <w:p>
      <w:pPr>
        <w:spacing w:after="40"/>
      </w:pPr>
      <w:r>
        <w:rPr>
          <w:rFonts w:ascii="游ゴシック" w:hAnsi="游ゴシック"/>
          <w:sz w:val="20"/>
        </w:rPr>
        <w:t>・AutoCAD、Civil 3D、BIM 360を中核とする3D設計・エンジニアリング分野の業界標準ソフトウェア群を擁するグローバルリーダー。建築・土木・製造・エンタメと幅広い業種にまたがる強固な顧客基盤と、高いスイッチングコストに支えられた圧倒的な競争優位性。サブスクリプション型モデルへの移行完了により、安定的なリカーリング収益と高い収益予見性の確立。</w:t>
      </w:r>
    </w:p>
    <w:p>
      <w:pPr>
        <w:spacing w:after="40"/>
      </w:pPr>
      <w:r>
        <w:rPr>
          <w:rFonts w:ascii="游ゴシック" w:hAnsi="游ゴシック"/>
          <w:sz w:val="20"/>
        </w:rPr>
        <w:t>・建設業界のデジタル化・BIM普及、クラウド移行、生成AIを活用した設計自動化が中長期の成長ドライバー。19.49%の高い利益率が示すソフトウェア事業のスケーラビリティと収益体質。ROE49.42%、ROA12.26%と、資本効率面で同業を大きく上回る優れた収益性。</w:t>
      </w:r>
    </w:p>
    <w:p>
      <w:pPr>
        <w:spacing w:after="40"/>
      </w:pPr>
      <w:r>
        <w:rPr>
          <w:rFonts w:ascii="游ゴシック" w:hAnsi="游ゴシック"/>
          <w:sz w:val="20"/>
        </w:rPr>
        <w:t>・予想PER（Non-GAAPベース）は14.55倍と、ソフトウェア・アプリケーション業種の平均を下回る割安な水準。安定成長とキャッシュフロー創出力を勘案すれば、現行バリュエーションには見直し余地。高いROEと堅牢な事業モデルを踏まえ、中長期的な投資妙味の大きい優良銘柄との評価。</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44億＄</w:t>
            </w:r>
          </w:p>
        </w:tc>
        <w:tc>
          <w:tcPr>
            <w:tcW w:type="dxa" w:w="2126"/>
            <w:vAlign w:val="center"/>
          </w:tcPr>
          <w:p>
            <w:pPr>
              <w:spacing w:before="0" w:after="0"/>
              <w:jc w:val="center"/>
            </w:pPr>
            <w:r>
              <w:rPr>
                <w:rFonts w:ascii="游ゴシック" w:hAnsi="游ゴシック"/>
                <w:sz w:val="18"/>
              </w:rPr>
              <w:t>ROE: 49.42%</w:t>
            </w:r>
          </w:p>
        </w:tc>
        <w:tc>
          <w:tcPr>
            <w:tcW w:type="dxa" w:w="2126"/>
            <w:vAlign w:val="center"/>
          </w:tcPr>
          <w:p>
            <w:pPr>
              <w:spacing w:before="0" w:after="0"/>
              <w:jc w:val="center"/>
            </w:pPr>
            <w:r>
              <w:rPr>
                <w:rFonts w:ascii="游ゴシック" w:hAnsi="游ゴシック"/>
                <w:sz w:val="18"/>
              </w:rPr>
              <w:t>ROA: 12.26%</w:t>
            </w:r>
          </w:p>
        </w:tc>
        <w:tc>
          <w:tcPr>
            <w:tcW w:type="dxa" w:w="2126"/>
            <w:vAlign w:val="center"/>
          </w:tcPr>
          <w:p>
            <w:pPr>
              <w:spacing w:before="0" w:after="0"/>
              <w:jc w:val="center"/>
            </w:pPr>
            <w:r>
              <w:rPr>
                <w:rFonts w:ascii="游ゴシック" w:hAnsi="游ゴシック"/>
                <w:sz w:val="18"/>
              </w:rPr>
              <w:t>PER: 14.55倍</w:t>
            </w:r>
          </w:p>
        </w:tc>
      </w:tr>
    </w:tbl>
    <w:p>
      <w:pPr>
        <w:jc w:val="center"/>
      </w:pPr>
      <w:r>
        <w:drawing>
          <wp:inline xmlns:a="http://schemas.openxmlformats.org/drawingml/2006/main" xmlns:pic="http://schemas.openxmlformats.org/drawingml/2006/picture">
            <wp:extent cx="5486400" cy="2805388"/>
            <wp:docPr id="10" name="Picture 10"/>
            <wp:cNvGraphicFramePr>
              <a:graphicFrameLocks noChangeAspect="1"/>
            </wp:cNvGraphicFramePr>
            <a:graphic>
              <a:graphicData uri="http://schemas.openxmlformats.org/drawingml/2006/picture">
                <pic:pic>
                  <pic:nvPicPr>
                    <pic:cNvPr id="0" name="chart_ADSK.png"/>
                    <pic:cNvPicPr/>
                  </pic:nvPicPr>
                  <pic:blipFill>
                    <a:blip r:embed="rId21"/>
                    <a:stretch>
                      <a:fillRect/>
                    </a:stretch>
                  </pic:blipFill>
                  <pic:spPr>
                    <a:xfrm>
                      <a:off x="0" y="0"/>
                      <a:ext cx="5486400" cy="2805388"/>
                    </a:xfrm>
                    <a:prstGeom prst="rect"/>
                  </pic:spPr>
                </pic:pic>
              </a:graphicData>
            </a:graphic>
          </wp:inline>
        </w:drawing>
      </w:r>
    </w:p>
    <w:p>
      <w:pPr>
        <w:spacing w:before="0" w:after="0"/>
      </w:pPr>
      <w:r>
        <w:rPr>
          <w:sz w:val="2"/>
        </w:rPr>
        <w:br w:type="page"/>
      </w:r>
    </w:p>
    <w:p>
      <w:pPr>
        <w:spacing w:after="160"/>
        <w:jc w:val="center"/>
      </w:pPr>
      <w:r>
        <w:rPr>
          <w:rFonts w:ascii="游ゴシック" w:hAnsi="游ゴシック"/>
          <w:b/>
          <w:sz w:val="24"/>
        </w:rPr>
        <w:t>ご参考</w:t>
      </w:r>
    </w:p>
    <w:tbl>
      <w:tblPr>
        <w:tblW w:type="auto" w:w="0"/>
        <w:tblLayout w:type="fixed"/>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jc w:val="center"/>
      </w:tblPr>
      <w:tblGrid>
        <w:gridCol w:w="2126"/>
        <w:gridCol w:w="2126"/>
        <w:gridCol w:w="2126"/>
        <w:gridCol w:w="2126"/>
      </w:tblGrid>
      <w:tr>
        <w:tc>
          <w:tcPr>
            <w:tcW w:type="dxa" w:w="3685"/>
            <w:vAlign w:val="center"/>
            <w:shd w:val="clear" w:color="auto" w:fill="D9E2F3"/>
          </w:tcPr>
          <w:p>
            <w:pPr>
              <w:spacing w:before="40" w:after="40"/>
              <w:jc w:val="center"/>
            </w:pPr>
            <w:r>
              <w:rPr>
                <w:rFonts w:ascii="游ゴシック" w:hAnsi="游ゴシック"/>
                <w:b/>
                <w:sz w:val="20"/>
              </w:rPr>
            </w:r>
          </w:p>
        </w:tc>
        <w:tc>
          <w:tcPr>
            <w:tcW w:type="dxa" w:w="1134"/>
            <w:vAlign w:val="center"/>
            <w:shd w:val="clear" w:color="auto" w:fill="D9E2F3"/>
          </w:tcPr>
          <w:p>
            <w:pPr>
              <w:spacing w:before="40" w:after="40"/>
              <w:jc w:val="center"/>
            </w:pPr>
            <w:r>
              <w:rPr>
                <w:rFonts w:ascii="游ゴシック" w:hAnsi="游ゴシック"/>
                <w:b/>
                <w:sz w:val="20"/>
              </w:rPr>
              <w:t>ROE</w:t>
            </w:r>
          </w:p>
        </w:tc>
        <w:tc>
          <w:tcPr>
            <w:tcW w:type="dxa" w:w="1134"/>
            <w:vAlign w:val="center"/>
            <w:shd w:val="clear" w:color="auto" w:fill="D9E2F3"/>
          </w:tcPr>
          <w:p>
            <w:pPr>
              <w:spacing w:before="40" w:after="40"/>
              <w:jc w:val="center"/>
            </w:pPr>
            <w:r>
              <w:rPr>
                <w:rFonts w:ascii="游ゴシック" w:hAnsi="游ゴシック"/>
                <w:b/>
                <w:sz w:val="20"/>
              </w:rPr>
              <w:t>ROA</w:t>
            </w:r>
          </w:p>
        </w:tc>
        <w:tc>
          <w:tcPr>
            <w:tcW w:type="dxa" w:w="1134"/>
            <w:vAlign w:val="center"/>
            <w:shd w:val="clear" w:color="auto" w:fill="D9E2F3"/>
          </w:tcPr>
          <w:p>
            <w:pPr>
              <w:spacing w:before="40" w:after="40"/>
              <w:jc w:val="center"/>
            </w:pPr>
            <w:r>
              <w:rPr>
                <w:rFonts w:ascii="游ゴシック" w:hAnsi="游ゴシック"/>
                <w:b/>
                <w:sz w:val="20"/>
              </w:rPr>
              <w:t>PER</w:t>
            </w:r>
          </w:p>
        </w:tc>
      </w:tr>
      <w:tr>
        <w:tc>
          <w:tcPr>
            <w:tcW w:type="dxa" w:w="3685"/>
            <w:vAlign w:val="center"/>
          </w:tcPr>
          <w:p>
            <w:pPr>
              <w:spacing w:before="40" w:after="40"/>
              <w:jc w:val="center"/>
            </w:pPr>
            <w:r>
              <w:rPr>
                <w:rFonts w:ascii="游ゴシック" w:hAnsi="游ゴシック"/>
                <w:b/>
                <w:sz w:val="20"/>
              </w:rPr>
              <w:t>上場企業平均（日本）</w:t>
            </w:r>
          </w:p>
        </w:tc>
        <w:tc>
          <w:tcPr>
            <w:tcW w:type="dxa" w:w="1134"/>
            <w:vAlign w:val="center"/>
          </w:tcPr>
          <w:p>
            <w:pPr>
              <w:spacing w:before="40" w:after="40"/>
              <w:jc w:val="center"/>
            </w:pPr>
            <w:r>
              <w:rPr>
                <w:rFonts w:ascii="游ゴシック" w:hAnsi="游ゴシック"/>
                <w:sz w:val="20"/>
              </w:rPr>
              <w:t>9.4%</w:t>
            </w:r>
          </w:p>
        </w:tc>
        <w:tc>
          <w:tcPr>
            <w:tcW w:type="dxa" w:w="1134"/>
            <w:vAlign w:val="center"/>
          </w:tcPr>
          <w:p>
            <w:pPr>
              <w:spacing w:before="40" w:after="40"/>
              <w:jc w:val="center"/>
            </w:pPr>
            <w:r>
              <w:rPr>
                <w:rFonts w:ascii="游ゴシック" w:hAnsi="游ゴシック"/>
                <w:sz w:val="20"/>
              </w:rPr>
              <w:t>4〜5%</w:t>
            </w:r>
          </w:p>
        </w:tc>
        <w:tc>
          <w:tcPr>
            <w:tcW w:type="dxa" w:w="1134"/>
            <w:vAlign w:val="center"/>
          </w:tcPr>
          <w:p>
            <w:pPr>
              <w:spacing w:before="40" w:after="40"/>
              <w:jc w:val="center"/>
            </w:pPr>
            <w:r>
              <w:rPr>
                <w:rFonts w:ascii="游ゴシック" w:hAnsi="游ゴシック"/>
                <w:sz w:val="20"/>
              </w:rPr>
              <w:t>18.24倍</w:t>
            </w:r>
          </w:p>
        </w:tc>
      </w:tr>
      <w:tr>
        <w:tc>
          <w:tcPr>
            <w:tcW w:type="dxa" w:w="3685"/>
            <w:vAlign w:val="center"/>
          </w:tcPr>
          <w:p>
            <w:pPr>
              <w:spacing w:before="40" w:after="40"/>
              <w:jc w:val="center"/>
            </w:pPr>
            <w:r>
              <w:rPr>
                <w:rFonts w:ascii="游ゴシック" w:hAnsi="游ゴシック"/>
                <w:b/>
                <w:sz w:val="20"/>
              </w:rPr>
              <w:t>上場企業平均（米国）</w:t>
            </w:r>
          </w:p>
        </w:tc>
        <w:tc>
          <w:tcPr>
            <w:tcW w:type="dxa" w:w="1134"/>
            <w:vAlign w:val="center"/>
          </w:tcPr>
          <w:p>
            <w:pPr>
              <w:spacing w:before="40" w:after="40"/>
              <w:jc w:val="center"/>
            </w:pPr>
            <w:r>
              <w:rPr>
                <w:rFonts w:ascii="游ゴシック" w:hAnsi="游ゴシック"/>
                <w:sz w:val="20"/>
              </w:rPr>
              <w:t>20.9%</w:t>
            </w:r>
          </w:p>
        </w:tc>
        <w:tc>
          <w:tcPr>
            <w:tcW w:type="dxa" w:w="1134"/>
            <w:vAlign w:val="center"/>
          </w:tcPr>
          <w:p>
            <w:pPr>
              <w:spacing w:before="40" w:after="40"/>
              <w:jc w:val="center"/>
            </w:pPr>
            <w:r>
              <w:rPr>
                <w:rFonts w:ascii="游ゴシック" w:hAnsi="游ゴシック"/>
                <w:sz w:val="20"/>
              </w:rPr>
              <w:t>6〜8%</w:t>
            </w:r>
          </w:p>
        </w:tc>
        <w:tc>
          <w:tcPr>
            <w:tcW w:type="dxa" w:w="1134"/>
            <w:vAlign w:val="center"/>
          </w:tcPr>
          <w:p>
            <w:pPr>
              <w:spacing w:before="40" w:after="40"/>
              <w:jc w:val="center"/>
            </w:pPr>
            <w:r>
              <w:rPr>
                <w:rFonts w:ascii="游ゴシック" w:hAnsi="游ゴシック"/>
                <w:sz w:val="20"/>
              </w:rPr>
              <w:t>24.33倍</w:t>
            </w:r>
          </w:p>
        </w:tc>
      </w:tr>
      <w:tr>
        <w:tc>
          <w:tcPr>
            <w:tcW w:type="dxa" w:w="3685"/>
            <w:vAlign w:val="center"/>
          </w:tcPr>
          <w:p>
            <w:pPr>
              <w:spacing w:before="40" w:after="40"/>
              <w:jc w:val="center"/>
            </w:pPr>
            <w:r>
              <w:rPr>
                <w:rFonts w:ascii="游ゴシック" w:hAnsi="游ゴシック"/>
                <w:b/>
                <w:sz w:val="20"/>
              </w:rPr>
              <w:t>トヨタ自動車（株）</w:t>
            </w:r>
          </w:p>
        </w:tc>
        <w:tc>
          <w:tcPr>
            <w:tcW w:type="dxa" w:w="1134"/>
            <w:vAlign w:val="center"/>
          </w:tcPr>
          <w:p>
            <w:pPr>
              <w:spacing w:before="40" w:after="40"/>
              <w:jc w:val="center"/>
            </w:pPr>
            <w:r>
              <w:rPr>
                <w:rFonts w:ascii="游ゴシック" w:hAnsi="游ゴシック"/>
                <w:sz w:val="20"/>
              </w:rPr>
              <w:t>13.59%</w:t>
            </w:r>
          </w:p>
        </w:tc>
        <w:tc>
          <w:tcPr>
            <w:tcW w:type="dxa" w:w="1134"/>
            <w:vAlign w:val="center"/>
          </w:tcPr>
          <w:p>
            <w:pPr>
              <w:spacing w:before="40" w:after="40"/>
              <w:jc w:val="center"/>
            </w:pPr>
            <w:r>
              <w:rPr>
                <w:rFonts w:ascii="游ゴシック" w:hAnsi="游ゴシック"/>
                <w:sz w:val="20"/>
              </w:rPr>
              <w:t>5.09%</w:t>
            </w:r>
          </w:p>
        </w:tc>
        <w:tc>
          <w:tcPr>
            <w:tcW w:type="dxa" w:w="1134"/>
            <w:vAlign w:val="center"/>
          </w:tcPr>
          <w:p>
            <w:pPr>
              <w:spacing w:before="40" w:after="40"/>
              <w:jc w:val="center"/>
            </w:pPr>
            <w:r>
              <w:rPr>
                <w:rFonts w:ascii="游ゴシック" w:hAnsi="游ゴシック"/>
                <w:sz w:val="20"/>
              </w:rPr>
              <w:t>12.71倍</w:t>
            </w:r>
          </w:p>
        </w:tc>
      </w:tr>
    </w:tbl>
    <w:p>
      <w:pPr>
        <w:spacing w:after="160"/>
      </w:pPr>
      <w:r>
        <w:rPr>
          <w:rFonts w:ascii="游ゴシック" w:hAnsi="游ゴシック"/>
          <w:b w:val="0"/>
          <w:sz w:val="20"/>
        </w:rPr>
      </w:r>
    </w:p>
    <w:p>
      <w:pPr>
        <w:spacing w:after="80"/>
      </w:pPr>
      <w:r>
        <w:rPr>
          <w:rFonts w:ascii="游ゴシック" w:hAnsi="游ゴシック"/>
          <w:b/>
          <w:sz w:val="20"/>
        </w:rPr>
        <w:t>マーケットデータ</w:t>
      </w:r>
    </w:p>
    <w:tbl>
      <w:tblPr>
        <w:tblW w:type="auto" w:w="0"/>
        <w:tblLayout w:type="fixed"/>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jc w:val="center"/>
      </w:tblPr>
      <w:tblGrid>
        <w:gridCol w:w="2126"/>
        <w:gridCol w:w="2126"/>
        <w:gridCol w:w="2126"/>
        <w:gridCol w:w="2126"/>
      </w:tblGrid>
      <w:tr>
        <w:tc>
          <w:tcPr>
            <w:tcW w:type="dxa" w:w="2268"/>
            <w:vAlign w:val="center"/>
            <w:shd w:val="clear" w:color="auto" w:fill="D9E2F3"/>
          </w:tcPr>
          <w:p>
            <w:pPr>
              <w:spacing w:before="40" w:after="40"/>
              <w:jc w:val="center"/>
            </w:pPr>
            <w:r>
              <w:rPr>
                <w:rFonts w:ascii="游ゴシック" w:hAnsi="游ゴシック"/>
                <w:b/>
                <w:sz w:val="20"/>
              </w:rPr>
              <w:t>指標</w:t>
            </w:r>
          </w:p>
        </w:tc>
        <w:tc>
          <w:tcPr>
            <w:tcW w:type="dxa" w:w="1984"/>
            <w:vAlign w:val="center"/>
            <w:shd w:val="clear" w:color="auto" w:fill="D9E2F3"/>
          </w:tcPr>
          <w:p>
            <w:pPr>
              <w:spacing w:before="40" w:after="40"/>
              <w:jc w:val="center"/>
            </w:pPr>
            <w:r>
              <w:rPr>
                <w:rFonts w:ascii="游ゴシック" w:hAnsi="游ゴシック"/>
                <w:b/>
                <w:sz w:val="20"/>
              </w:rPr>
              <w:t>前日終値</w:t>
            </w:r>
          </w:p>
        </w:tc>
        <w:tc>
          <w:tcPr>
            <w:tcW w:type="dxa" w:w="2834"/>
            <w:gridSpan w:val="2"/>
            <w:vAlign w:val="center"/>
            <w:shd w:val="clear" w:color="auto" w:fill="D9E2F3"/>
            <w:shd w:val="clear" w:color="auto" w:fill="D9E2F3"/>
          </w:tcPr>
          <w:p>
            <w:pPr>
              <w:spacing w:before="40" w:after="40"/>
              <w:jc w:val="center"/>
            </w:pPr>
            <w:r>
              <w:rPr>
                <w:rFonts w:ascii="游ゴシック" w:hAnsi="游ゴシック"/>
                <w:b/>
                <w:sz w:val="20"/>
              </w:rPr>
              <w:t>25年末比</w:t>
            </w:r>
          </w:p>
        </w:tc>
      </w:tr>
      <w:tr>
        <w:tc>
          <w:tcPr>
            <w:tcW w:type="dxa" w:w="2268"/>
            <w:vAlign w:val="center"/>
          </w:tcPr>
          <w:p>
            <w:pPr>
              <w:spacing w:before="20" w:after="20"/>
              <w:jc w:val="center"/>
            </w:pPr>
            <w:r>
              <w:rPr>
                <w:rFonts w:ascii="游ゴシック" w:hAnsi="游ゴシック"/>
                <w:b/>
                <w:sz w:val="20"/>
              </w:rPr>
              <w:t>日経平均株価</w:t>
            </w:r>
          </w:p>
        </w:tc>
        <w:tc>
          <w:tcPr>
            <w:tcW w:type="dxa" w:w="1984"/>
            <w:vAlign w:val="center"/>
          </w:tcPr>
          <w:p>
            <w:pPr>
              <w:spacing w:before="20" w:after="20"/>
              <w:jc w:val="right"/>
            </w:pPr>
            <w:r>
              <w:rPr>
                <w:rFonts w:ascii="游ゴシック" w:hAnsi="游ゴシック"/>
                <w:sz w:val="20"/>
              </w:rPr>
              <w:t>68,437.15 円</w:t>
            </w:r>
          </w:p>
        </w:tc>
        <w:tc>
          <w:tcPr>
            <w:tcW w:type="dxa" w:w="1417"/>
            <w:vAlign w:val="center"/>
          </w:tcPr>
          <w:p>
            <w:pPr>
              <w:spacing w:before="20" w:after="20"/>
              <w:jc w:val="right"/>
            </w:pPr>
            <w:r>
              <w:rPr>
                <w:rFonts w:ascii="游ゴシック" w:hAnsi="游ゴシック"/>
                <w:sz w:val="20"/>
              </w:rPr>
              <w:t>+18,097.67</w:t>
            </w:r>
          </w:p>
        </w:tc>
        <w:tc>
          <w:tcPr>
            <w:tcW w:type="dxa" w:w="1417"/>
            <w:vAlign w:val="center"/>
          </w:tcPr>
          <w:p>
            <w:pPr>
              <w:spacing w:before="20" w:after="20"/>
              <w:jc w:val="right"/>
            </w:pPr>
            <w:r>
              <w:rPr>
                <w:rFonts w:ascii="游ゴシック" w:hAnsi="游ゴシック"/>
                <w:sz w:val="20"/>
              </w:rPr>
              <w:t>+35.95%</w:t>
            </w:r>
          </w:p>
        </w:tc>
      </w:tr>
      <w:tr>
        <w:tc>
          <w:tcPr>
            <w:tcW w:type="dxa" w:w="2268"/>
            <w:vAlign w:val="center"/>
          </w:tcPr>
          <w:p>
            <w:pPr>
              <w:spacing w:before="20" w:after="20"/>
              <w:jc w:val="center"/>
            </w:pPr>
            <w:r>
              <w:rPr>
                <w:rFonts w:ascii="游ゴシック" w:hAnsi="游ゴシック"/>
                <w:b/>
                <w:sz w:val="20"/>
              </w:rPr>
              <w:t>TOPIX</w:t>
            </w:r>
          </w:p>
        </w:tc>
        <w:tc>
          <w:tcPr>
            <w:tcW w:type="dxa" w:w="1984"/>
            <w:vAlign w:val="center"/>
          </w:tcPr>
          <w:p>
            <w:pPr>
              <w:spacing w:before="20" w:after="20"/>
              <w:jc w:val="right"/>
            </w:pPr>
            <w:r>
              <w:rPr>
                <w:rFonts w:ascii="游ゴシック" w:hAnsi="游ゴシック"/>
                <w:sz w:val="20"/>
              </w:rPr>
              <w:t>432.80 pt</w:t>
            </w:r>
          </w:p>
        </w:tc>
        <w:tc>
          <w:tcPr>
            <w:tcW w:type="dxa" w:w="1417"/>
            <w:vAlign w:val="center"/>
          </w:tcPr>
          <w:p>
            <w:pPr>
              <w:spacing w:before="20" w:after="20"/>
              <w:jc w:val="right"/>
            </w:pPr>
            <w:r>
              <w:rPr>
                <w:rFonts w:ascii="游ゴシック" w:hAnsi="游ゴシック"/>
                <w:color w:val="CC0000"/>
                <w:sz w:val="20"/>
              </w:rPr>
              <w:t>-2,976.17</w:t>
            </w:r>
          </w:p>
        </w:tc>
        <w:tc>
          <w:tcPr>
            <w:tcW w:type="dxa" w:w="1417"/>
            <w:vAlign w:val="center"/>
          </w:tcPr>
          <w:p>
            <w:pPr>
              <w:spacing w:before="20" w:after="20"/>
              <w:jc w:val="right"/>
            </w:pPr>
            <w:r>
              <w:rPr>
                <w:rFonts w:ascii="游ゴシック" w:hAnsi="游ゴシック"/>
                <w:color w:val="CC0000"/>
                <w:sz w:val="20"/>
              </w:rPr>
              <w:t>-87.30%</w:t>
            </w:r>
          </w:p>
        </w:tc>
      </w:tr>
      <w:tr>
        <w:tc>
          <w:tcPr>
            <w:tcW w:type="dxa" w:w="2268"/>
            <w:vAlign w:val="center"/>
          </w:tcPr>
          <w:p>
            <w:pPr>
              <w:spacing w:before="20" w:after="20"/>
              <w:jc w:val="center"/>
            </w:pPr>
            <w:r>
              <w:rPr>
                <w:rFonts w:ascii="游ゴシック" w:hAnsi="游ゴシック"/>
                <w:b/>
                <w:sz w:val="20"/>
              </w:rPr>
              <w:t>S&amp;P 500</w:t>
            </w:r>
          </w:p>
        </w:tc>
        <w:tc>
          <w:tcPr>
            <w:tcW w:type="dxa" w:w="1984"/>
            <w:vAlign w:val="center"/>
          </w:tcPr>
          <w:p>
            <w:pPr>
              <w:spacing w:before="20" w:after="20"/>
              <w:jc w:val="right"/>
            </w:pPr>
            <w:r>
              <w:rPr>
                <w:rFonts w:ascii="游ゴシック" w:hAnsi="游ゴシック"/>
                <w:sz w:val="20"/>
              </w:rPr>
              <w:t>7,483.24 pt</w:t>
            </w:r>
          </w:p>
        </w:tc>
        <w:tc>
          <w:tcPr>
            <w:tcW w:type="dxa" w:w="1417"/>
            <w:vAlign w:val="center"/>
          </w:tcPr>
          <w:p>
            <w:pPr>
              <w:spacing w:before="20" w:after="20"/>
              <w:jc w:val="right"/>
            </w:pPr>
            <w:r>
              <w:rPr>
                <w:rFonts w:ascii="游ゴシック" w:hAnsi="游ゴシック"/>
                <w:sz w:val="20"/>
              </w:rPr>
              <w:t>+637.74</w:t>
            </w:r>
          </w:p>
        </w:tc>
        <w:tc>
          <w:tcPr>
            <w:tcW w:type="dxa" w:w="1417"/>
            <w:vAlign w:val="center"/>
          </w:tcPr>
          <w:p>
            <w:pPr>
              <w:spacing w:before="20" w:after="20"/>
              <w:jc w:val="right"/>
            </w:pPr>
            <w:r>
              <w:rPr>
                <w:rFonts w:ascii="游ゴシック" w:hAnsi="游ゴシック"/>
                <w:sz w:val="20"/>
              </w:rPr>
              <w:t>+9.32%</w:t>
            </w:r>
          </w:p>
        </w:tc>
      </w:tr>
      <w:tr>
        <w:tc>
          <w:tcPr>
            <w:tcW w:type="dxa" w:w="2268"/>
            <w:vAlign w:val="center"/>
          </w:tcPr>
          <w:p>
            <w:pPr>
              <w:spacing w:before="20" w:after="20"/>
              <w:jc w:val="center"/>
            </w:pPr>
            <w:r>
              <w:rPr>
                <w:rFonts w:ascii="游ゴシック" w:hAnsi="游ゴシック"/>
                <w:b/>
                <w:sz w:val="20"/>
              </w:rPr>
              <w:t>NYダウ平均</w:t>
            </w:r>
          </w:p>
        </w:tc>
        <w:tc>
          <w:tcPr>
            <w:tcW w:type="dxa" w:w="1984"/>
            <w:vAlign w:val="center"/>
          </w:tcPr>
          <w:p>
            <w:pPr>
              <w:spacing w:before="20" w:after="20"/>
              <w:jc w:val="right"/>
            </w:pPr>
            <w:r>
              <w:rPr>
                <w:rFonts w:ascii="游ゴシック" w:hAnsi="游ゴシック"/>
                <w:sz w:val="20"/>
              </w:rPr>
              <w:t>52,900.07 $</w:t>
            </w:r>
          </w:p>
        </w:tc>
        <w:tc>
          <w:tcPr>
            <w:tcW w:type="dxa" w:w="1417"/>
            <w:vAlign w:val="center"/>
          </w:tcPr>
          <w:p>
            <w:pPr>
              <w:spacing w:before="20" w:after="20"/>
              <w:jc w:val="right"/>
            </w:pPr>
            <w:r>
              <w:rPr>
                <w:rFonts w:ascii="游ゴシック" w:hAnsi="游ゴシック"/>
                <w:sz w:val="20"/>
              </w:rPr>
              <w:t>+4,836.78</w:t>
            </w:r>
          </w:p>
        </w:tc>
        <w:tc>
          <w:tcPr>
            <w:tcW w:type="dxa" w:w="1417"/>
            <w:vAlign w:val="center"/>
          </w:tcPr>
          <w:p>
            <w:pPr>
              <w:spacing w:before="20" w:after="20"/>
              <w:jc w:val="right"/>
            </w:pPr>
            <w:r>
              <w:rPr>
                <w:rFonts w:ascii="游ゴシック" w:hAnsi="游ゴシック"/>
                <w:sz w:val="20"/>
              </w:rPr>
              <w:t>+10.06%</w:t>
            </w:r>
          </w:p>
        </w:tc>
      </w:tr>
      <w:tr>
        <w:tc>
          <w:tcPr>
            <w:tcW w:type="dxa" w:w="2268"/>
            <w:vAlign w:val="center"/>
          </w:tcPr>
          <w:p>
            <w:pPr>
              <w:spacing w:before="20" w:after="20"/>
              <w:jc w:val="center"/>
            </w:pPr>
            <w:r>
              <w:rPr>
                <w:rFonts w:ascii="游ゴシック" w:hAnsi="游ゴシック"/>
                <w:b/>
                <w:sz w:val="20"/>
              </w:rPr>
              <w:t>NASDAQ総合指数</w:t>
            </w:r>
          </w:p>
        </w:tc>
        <w:tc>
          <w:tcPr>
            <w:tcW w:type="dxa" w:w="1984"/>
            <w:vAlign w:val="center"/>
          </w:tcPr>
          <w:p>
            <w:pPr>
              <w:spacing w:before="20" w:after="20"/>
              <w:jc w:val="right"/>
            </w:pPr>
            <w:r>
              <w:rPr>
                <w:rFonts w:ascii="游ゴシック" w:hAnsi="游ゴシック"/>
                <w:sz w:val="20"/>
              </w:rPr>
              <w:t>25,832.67 pt</w:t>
            </w:r>
          </w:p>
        </w:tc>
        <w:tc>
          <w:tcPr>
            <w:tcW w:type="dxa" w:w="1417"/>
            <w:vAlign w:val="center"/>
          </w:tcPr>
          <w:p>
            <w:pPr>
              <w:spacing w:before="20" w:after="20"/>
              <w:jc w:val="right"/>
            </w:pPr>
            <w:r>
              <w:rPr>
                <w:rFonts w:ascii="游ゴシック" w:hAnsi="游ゴシック"/>
                <w:sz w:val="20"/>
              </w:rPr>
              <w:t>+2,590.68</w:t>
            </w:r>
          </w:p>
        </w:tc>
        <w:tc>
          <w:tcPr>
            <w:tcW w:type="dxa" w:w="1417"/>
            <w:vAlign w:val="center"/>
          </w:tcPr>
          <w:p>
            <w:pPr>
              <w:spacing w:before="20" w:after="20"/>
              <w:jc w:val="right"/>
            </w:pPr>
            <w:r>
              <w:rPr>
                <w:rFonts w:ascii="游ゴシック" w:hAnsi="游ゴシック"/>
                <w:sz w:val="20"/>
              </w:rPr>
              <w:t>+11.15%</w:t>
            </w:r>
          </w:p>
        </w:tc>
      </w:tr>
      <w:tr>
        <w:tc>
          <w:tcPr>
            <w:tcW w:type="dxa" w:w="2268"/>
            <w:vAlign w:val="center"/>
          </w:tcPr>
          <w:p>
            <w:pPr>
              <w:spacing w:before="20" w:after="20"/>
              <w:jc w:val="center"/>
            </w:pPr>
            <w:r>
              <w:rPr>
                <w:rFonts w:ascii="游ゴシック" w:hAnsi="游ゴシック"/>
                <w:b/>
                <w:sz w:val="20"/>
              </w:rPr>
              <w:t>米ドル/円</w:t>
            </w:r>
          </w:p>
        </w:tc>
        <w:tc>
          <w:tcPr>
            <w:tcW w:type="dxa" w:w="1984"/>
            <w:vAlign w:val="center"/>
          </w:tcPr>
          <w:p>
            <w:pPr>
              <w:spacing w:before="20" w:after="20"/>
              <w:jc w:val="right"/>
            </w:pPr>
            <w:r>
              <w:rPr>
                <w:rFonts w:ascii="游ゴシック" w:hAnsi="游ゴシック"/>
                <w:sz w:val="20"/>
              </w:rPr>
              <w:t>162.07 円</w:t>
            </w:r>
          </w:p>
        </w:tc>
        <w:tc>
          <w:tcPr>
            <w:tcW w:type="dxa" w:w="1417"/>
            <w:vAlign w:val="center"/>
          </w:tcPr>
          <w:p>
            <w:pPr>
              <w:spacing w:before="20" w:after="20"/>
              <w:jc w:val="right"/>
            </w:pPr>
            <w:r>
              <w:rPr>
                <w:rFonts w:ascii="游ゴシック" w:hAnsi="游ゴシック"/>
                <w:sz w:val="20"/>
              </w:rPr>
              <w:t>+5.66</w:t>
            </w:r>
          </w:p>
        </w:tc>
        <w:tc>
          <w:tcPr>
            <w:tcW w:type="dxa" w:w="1417"/>
            <w:vAlign w:val="center"/>
          </w:tcPr>
          <w:p>
            <w:pPr>
              <w:spacing w:before="20" w:after="20"/>
              <w:jc w:val="right"/>
            </w:pPr>
            <w:r>
              <w:rPr>
                <w:rFonts w:ascii="游ゴシック" w:hAnsi="游ゴシック"/>
                <w:sz w:val="20"/>
              </w:rPr>
              <w:t>+3.62%</w:t>
            </w:r>
          </w:p>
        </w:tc>
      </w:tr>
      <w:tr>
        <w:tc>
          <w:tcPr>
            <w:tcW w:type="dxa" w:w="2268"/>
            <w:vAlign w:val="center"/>
          </w:tcPr>
          <w:p>
            <w:pPr>
              <w:spacing w:before="20" w:after="20"/>
              <w:jc w:val="center"/>
            </w:pPr>
            <w:r>
              <w:rPr>
                <w:rFonts w:ascii="游ゴシック" w:hAnsi="游ゴシック"/>
                <w:b/>
                <w:sz w:val="20"/>
              </w:rPr>
              <w:t>ユーロ/円</w:t>
            </w:r>
          </w:p>
        </w:tc>
        <w:tc>
          <w:tcPr>
            <w:tcW w:type="dxa" w:w="1984"/>
            <w:vAlign w:val="center"/>
          </w:tcPr>
          <w:p>
            <w:pPr>
              <w:spacing w:before="20" w:after="20"/>
              <w:jc w:val="right"/>
            </w:pPr>
            <w:r>
              <w:rPr>
                <w:rFonts w:ascii="游ゴシック" w:hAnsi="游ゴシック"/>
                <w:sz w:val="20"/>
              </w:rPr>
              <w:t>185.45 円</w:t>
            </w:r>
          </w:p>
        </w:tc>
        <w:tc>
          <w:tcPr>
            <w:tcW w:type="dxa" w:w="1417"/>
            <w:vAlign w:val="center"/>
          </w:tcPr>
          <w:p>
            <w:pPr>
              <w:spacing w:before="20" w:after="20"/>
              <w:jc w:val="right"/>
            </w:pPr>
            <w:r>
              <w:rPr>
                <w:rFonts w:ascii="游ゴシック" w:hAnsi="游ゴシック"/>
                <w:sz w:val="20"/>
              </w:rPr>
              <w:t>+1.73</w:t>
            </w:r>
          </w:p>
        </w:tc>
        <w:tc>
          <w:tcPr>
            <w:tcW w:type="dxa" w:w="1417"/>
            <w:vAlign w:val="center"/>
          </w:tcPr>
          <w:p>
            <w:pPr>
              <w:spacing w:before="20" w:after="20"/>
              <w:jc w:val="right"/>
            </w:pPr>
            <w:r>
              <w:rPr>
                <w:rFonts w:ascii="游ゴシック" w:hAnsi="游ゴシック"/>
                <w:sz w:val="20"/>
              </w:rPr>
              <w:t>+0.94%</w:t>
            </w:r>
          </w:p>
        </w:tc>
      </w:tr>
    </w:tbl>
    <w:p>
      <w:pPr>
        <w:spacing w:after="80"/>
      </w:pPr>
      <w:r>
        <w:rPr>
          <w:rFonts w:ascii="游ゴシック" w:hAnsi="游ゴシック"/>
          <w:b w:val="0"/>
          <w:sz w:val="20"/>
        </w:rPr>
      </w:r>
    </w:p>
    <w:p>
      <w:pPr>
        <w:jc w:val="center"/>
      </w:pPr>
      <w:r>
        <w:drawing>
          <wp:inline xmlns:a="http://schemas.openxmlformats.org/drawingml/2006/main" xmlns:pic="http://schemas.openxmlformats.org/drawingml/2006/picture">
            <wp:extent cx="5486400" cy="1980437"/>
            <wp:docPr id="11" name="Picture 11"/>
            <wp:cNvGraphicFramePr>
              <a:graphicFrameLocks noChangeAspect="1"/>
            </wp:cNvGraphicFramePr>
            <a:graphic>
              <a:graphicData uri="http://schemas.openxmlformats.org/drawingml/2006/picture">
                <pic:pic>
                  <pic:nvPicPr>
                    <pic:cNvPr id="0" name="chart_index_comparison.png"/>
                    <pic:cNvPicPr/>
                  </pic:nvPicPr>
                  <pic:blipFill>
                    <a:blip r:embed="rId22"/>
                    <a:stretch>
                      <a:fillRect/>
                    </a:stretch>
                  </pic:blipFill>
                  <pic:spPr>
                    <a:xfrm>
                      <a:off x="0" y="0"/>
                      <a:ext cx="5486400" cy="1980437"/>
                    </a:xfrm>
                    <a:prstGeom prst="rect"/>
                  </pic:spPr>
                </pic:pic>
              </a:graphicData>
            </a:graphic>
          </wp:inline>
        </w:drawing>
      </w:r>
    </w:p>
    <w:sectPr w:rsidR="006C7ED7" w:rsidSect="000F4AFB">
      <w:headerReference w:type="default" r:id="rId8"/>
      <w:footerReference w:type="default" r:id="rId9"/>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D652" w14:textId="77777777" w:rsidR="00B340AB" w:rsidRDefault="00B340AB" w:rsidP="00C24EAA">
      <w:pPr>
        <w:spacing w:after="0" w:line="240" w:lineRule="auto"/>
      </w:pPr>
      <w:r>
        <w:separator/>
      </w:r>
    </w:p>
  </w:endnote>
  <w:endnote w:type="continuationSeparator" w:id="0">
    <w:p w14:paraId="4B0F36EB" w14:textId="77777777" w:rsidR="00B340AB" w:rsidRDefault="00B340AB" w:rsidP="00C2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9ECB" w14:textId="77777777" w:rsidR="00C24EAA" w:rsidRPr="00BD32E4" w:rsidRDefault="006C7ED7" w:rsidP="00397BA8">
    <w:pPr>
      <w:pStyle w:val="a5"/>
      <w:jc w:val="center"/>
      <w:rPr>
        <w:sz w:val="14"/>
        <w:szCs w:val="14"/>
      </w:rPr>
    </w:pPr>
    <w:r w:rsidRPr="0067552C">
      <w:rPr>
        <w:noProof/>
        <w:color w:val="040404"/>
      </w:rPr>
      <mc:AlternateContent>
        <mc:Choice Requires="wps">
          <w:drawing>
            <wp:anchor distT="0" distB="0" distL="114300" distR="114300" simplePos="0" relativeHeight="251351552" behindDoc="0" locked="0" layoutInCell="1" allowOverlap="1" wp14:anchorId="01D89B4A" wp14:editId="6DCA1B74">
              <wp:simplePos x="0" y="0"/>
              <wp:positionH relativeFrom="margin">
                <wp:align>right</wp:align>
              </wp:positionH>
              <wp:positionV relativeFrom="paragraph">
                <wp:posOffset>-174625</wp:posOffset>
              </wp:positionV>
              <wp:extent cx="5394960" cy="0"/>
              <wp:effectExtent l="0" t="0" r="0" b="0"/>
              <wp:wrapNone/>
              <wp:docPr id="598369455" name="直線コネクタ 19"/>
              <wp:cNvGraphicFramePr/>
              <a:graphic xmlns:a="http://schemas.openxmlformats.org/drawingml/2006/main">
                <a:graphicData uri="http://schemas.microsoft.com/office/word/2010/wordprocessingShape">
                  <wps:wsp>
                    <wps:cNvCnPr/>
                    <wps:spPr>
                      <a:xfrm>
                        <a:off x="0" y="0"/>
                        <a:ext cx="5394960" cy="0"/>
                      </a:xfrm>
                      <a:prstGeom prst="line">
                        <a:avLst/>
                      </a:prstGeom>
                      <a:noFill/>
                      <a:ln w="1905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anchor>
          </w:drawing>
        </mc:Choice>
        <mc:Fallback>
          <w:pict>
            <v:line w14:anchorId="7C2FA768" id="直線コネクタ 19" o:spid="_x0000_s1026" style="position:absolute;z-index:25135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73.6pt,-13.75pt" to="798.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" strokecolor="#bfbfbf [2412]" strokeweight="1.5pt">
              <v:stroke joinstyle="miter"/>
              <w10:wrap anchorx="margin"/>
            </v:line>
          </w:pict>
        </mc:Fallback>
      </mc:AlternateContent>
    </w:r>
    <w:r w:rsidR="00575A26" w:rsidRPr="00575A26">
      <w:rPr>
        <w:noProof/>
        <w:color w:val="AEAAAA" w:themeColor="background2" w:themeShade="BF"/>
        <w:sz w:val="18"/>
        <w:szCs w:val="18"/>
      </w:rPr>
      <mc:AlternateContent>
        <mc:Choice Requires="wps">
          <w:drawing>
            <wp:anchor distT="0" distB="0" distL="114300" distR="114300" simplePos="0" relativeHeight="251287040" behindDoc="0" locked="0" layoutInCell="1" allowOverlap="1" wp14:anchorId="7D8C2C79" wp14:editId="05930E21">
              <wp:simplePos x="0" y="0"/>
              <wp:positionH relativeFrom="margin">
                <wp:posOffset>1880870</wp:posOffset>
              </wp:positionH>
              <wp:positionV relativeFrom="paragraph">
                <wp:posOffset>557530</wp:posOffset>
              </wp:positionV>
              <wp:extent cx="1639314" cy="241935"/>
              <wp:effectExtent l="0" t="0" r="0" b="5715"/>
              <wp:wrapNone/>
              <wp:docPr id="1433253820" name="テキスト ボックス 5"/>
              <wp:cNvGraphicFramePr/>
              <a:graphic xmlns:a="http://schemas.openxmlformats.org/drawingml/2006/main">
                <a:graphicData uri="http://schemas.microsoft.com/office/word/2010/wordprocessingShape">
                  <wps:wsp>
                    <wps:cNvSpPr txBox="1"/>
                    <wps:spPr>
                      <a:xfrm>
                        <a:off x="0" y="0"/>
                        <a:ext cx="1639314" cy="241935"/>
                      </a:xfrm>
                      <a:prstGeom prst="rect">
                        <a:avLst/>
                      </a:prstGeom>
                      <a:noFill/>
                      <a:ln w="6350">
                        <a:noFill/>
                      </a:ln>
                    </wps:spPr>
                    <wps:txbx>
                      <w:txbxContent>
                        <w:p w14:paraId="55E338E6" w14:textId="77777777" w:rsidR="006C7ED7" w:rsidRPr="000B05B8" w:rsidRDefault="006C7ED7" w:rsidP="006C7ED7">
                          <w:pPr>
                            <w:jc w:val="center"/>
                            <w:rPr>
                              <w:color w:val="3B3838" w:themeColor="background2" w:themeShade="40"/>
                            </w:rPr>
                          </w:pPr>
                          <w:r w:rsidRPr="005007BA">
                            <w:rPr>
                              <w:rFonts w:hint="eastAsia"/>
                              <w:color w:val="3B3838" w:themeColor="background2" w:themeShade="40"/>
                              <w:w w:val="81"/>
                              <w:sz w:val="14"/>
                              <w:szCs w:val="14"/>
                              <w:fitText w:val="2100" w:id="-1009146112"/>
                            </w:rPr>
                            <w:t>（</w:t>
                          </w:r>
                          <w:r w:rsidRPr="005007BA">
                            <w:rPr>
                              <w:color w:val="3B3838" w:themeColor="background2" w:themeShade="40"/>
                              <w:w w:val="81"/>
                              <w:sz w:val="14"/>
                              <w:szCs w:val="14"/>
                              <w:fitText w:val="2100" w:id="-1009146112"/>
                            </w:rPr>
                            <w:t>C</w:t>
                          </w:r>
                          <w:r w:rsidRPr="005007BA">
                            <w:rPr>
                              <w:rFonts w:hint="eastAsia"/>
                              <w:color w:val="3B3838" w:themeColor="background2" w:themeShade="40"/>
                              <w:w w:val="81"/>
                              <w:sz w:val="14"/>
                              <w:szCs w:val="14"/>
                              <w:fitText w:val="2100" w:id="-1009146112"/>
                            </w:rPr>
                            <w:t>）</w:t>
                          </w:r>
                          <w:r w:rsidRPr="005007BA">
                            <w:rPr>
                              <w:color w:val="3B3838" w:themeColor="background2" w:themeShade="40"/>
                              <w:w w:val="81"/>
                              <w:sz w:val="14"/>
                              <w:szCs w:val="14"/>
                              <w:fitText w:val="2100" w:id="-1009146112"/>
                            </w:rPr>
                            <w:t>Forcus Co.Ltd., All Rights Reserve</w:t>
                          </w:r>
                          <w:r w:rsidRPr="005007BA">
                            <w:rPr>
                              <w:color w:val="3B3838" w:themeColor="background2" w:themeShade="40"/>
                              <w:spacing w:val="10"/>
                              <w:w w:val="81"/>
                              <w:sz w:val="14"/>
                              <w:szCs w:val="14"/>
                              <w:fitText w:val="2100" w:id="-1009146112"/>
                            </w:rPr>
                            <w:t>d</w:t>
                          </w:r>
                        </w:p>
                        <w:p w14:paraId="090AB47D" w14:textId="77777777" w:rsidR="00C82650" w:rsidRPr="006C7ED7" w:rsidRDefault="00C82650" w:rsidP="00575A26">
                          <w:pPr>
                            <w:jc w:val="center"/>
                            <w:rPr>
                              <w:color w:val="3B3838" w:themeColor="background2" w:themeShade="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C2C79" id="_x0000_t202" coordsize="21600,21600" o:spt="202" path="m,l,21600r21600,l21600,xe">
              <v:stroke joinstyle="miter"/>
              <v:path gradientshapeok="t" o:connecttype="rect"/>
            </v:shapetype>
            <v:shape id="テキスト ボックス 5" o:spid="_x0000_s1026" type="#_x0000_t202" style="position:absolute;left:0;text-align:left;margin-left:148.1pt;margin-top:43.9pt;width:129.1pt;height:19.05pt;z-index:25128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" filled="f" stroked="f" strokeweight=".5pt">
              <v:textbox>
                <w:txbxContent>
                  <w:p w14:paraId="55E338E6" w14:textId="77777777" w:rsidR="006C7ED7" w:rsidRPr="000B05B8" w:rsidRDefault="006C7ED7" w:rsidP="006C7ED7">
                    <w:pPr>
                      <w:jc w:val="center"/>
                      <w:rPr>
                        <w:color w:val="3B3838" w:themeColor="background2" w:themeShade="40"/>
                      </w:rPr>
                    </w:pPr>
                    <w:r w:rsidRPr="005007BA">
                      <w:rPr>
                        <w:rFonts w:hint="eastAsia"/>
                        <w:color w:val="3B3838" w:themeColor="background2" w:themeShade="40"/>
                        <w:w w:val="81"/>
                        <w:sz w:val="14"/>
                        <w:szCs w:val="14"/>
                        <w:fitText w:val="2100" w:id="-1009146112"/>
                      </w:rPr>
                      <w:t>（</w:t>
                    </w:r>
                    <w:r w:rsidRPr="005007BA">
                      <w:rPr>
                        <w:color w:val="3B3838" w:themeColor="background2" w:themeShade="40"/>
                        <w:w w:val="81"/>
                        <w:sz w:val="14"/>
                        <w:szCs w:val="14"/>
                        <w:fitText w:val="2100" w:id="-1009146112"/>
                      </w:rPr>
                      <w:t>C</w:t>
                    </w:r>
                    <w:r w:rsidRPr="005007BA">
                      <w:rPr>
                        <w:rFonts w:hint="eastAsia"/>
                        <w:color w:val="3B3838" w:themeColor="background2" w:themeShade="40"/>
                        <w:w w:val="81"/>
                        <w:sz w:val="14"/>
                        <w:szCs w:val="14"/>
                        <w:fitText w:val="2100" w:id="-1009146112"/>
                      </w:rPr>
                      <w:t>）</w:t>
                    </w:r>
                    <w:r w:rsidRPr="005007BA">
                      <w:rPr>
                        <w:color w:val="3B3838" w:themeColor="background2" w:themeShade="40"/>
                        <w:w w:val="81"/>
                        <w:sz w:val="14"/>
                        <w:szCs w:val="14"/>
                        <w:fitText w:val="2100" w:id="-1009146112"/>
                      </w:rPr>
                      <w:t>Forcus Co.Ltd., All Rights Reserve</w:t>
                    </w:r>
                    <w:r w:rsidRPr="005007BA">
                      <w:rPr>
                        <w:color w:val="3B3838" w:themeColor="background2" w:themeShade="40"/>
                        <w:spacing w:val="10"/>
                        <w:w w:val="81"/>
                        <w:sz w:val="14"/>
                        <w:szCs w:val="14"/>
                        <w:fitText w:val="2100" w:id="-1009146112"/>
                      </w:rPr>
                      <w:t>d</w:t>
                    </w:r>
                  </w:p>
                  <w:p w14:paraId="090AB47D" w14:textId="77777777" w:rsidR="00C82650" w:rsidRPr="006C7ED7" w:rsidRDefault="00C82650" w:rsidP="00575A26">
                    <w:pPr>
                      <w:jc w:val="center"/>
                      <w:rPr>
                        <w:color w:val="3B3838" w:themeColor="background2" w:themeShade="40"/>
                      </w:rPr>
                    </w:pPr>
                  </w:p>
                </w:txbxContent>
              </v:textbox>
              <w10:wrap anchorx="margin"/>
            </v:shape>
          </w:pict>
        </mc:Fallback>
      </mc:AlternateContent>
    </w:r>
    <w:r w:rsidR="00171E69" w:rsidRPr="00575A26">
      <w:rPr>
        <w:noProof/>
        <w:color w:val="AEAAAA" w:themeColor="background2" w:themeShade="BF"/>
        <w:sz w:val="18"/>
        <w:szCs w:val="18"/>
      </w:rPr>
      <mc:AlternateContent>
        <mc:Choice Requires="wpg">
          <w:drawing>
            <wp:anchor distT="0" distB="0" distL="114300" distR="114300" simplePos="0" relativeHeight="251281920" behindDoc="0" locked="0" layoutInCell="1" allowOverlap="1" wp14:anchorId="7591B850" wp14:editId="7258DB55">
              <wp:simplePos x="0" y="0"/>
              <wp:positionH relativeFrom="margin">
                <wp:align>center</wp:align>
              </wp:positionH>
              <wp:positionV relativeFrom="paragraph">
                <wp:posOffset>313055</wp:posOffset>
              </wp:positionV>
              <wp:extent cx="696595" cy="165100"/>
              <wp:effectExtent l="0" t="0" r="8255" b="6350"/>
              <wp:wrapNone/>
              <wp:docPr id="55" name="グループ化 54">
                <a:extLst xmlns:a="http://schemas.openxmlformats.org/drawingml/2006/main">
                  <a:ext uri="{FF2B5EF4-FFF2-40B4-BE49-F238E27FC236}">
                    <a16:creationId xmlns:a16="http://schemas.microsoft.com/office/drawing/2014/main" id="{1C45C005-5FD6-7307-F69B-C7D0C04F488B}"/>
                  </a:ext>
                </a:extLst>
              </wp:docPr>
              <wp:cNvGraphicFramePr/>
              <a:graphic xmlns:a="http://schemas.openxmlformats.org/drawingml/2006/main">
                <a:graphicData uri="http://schemas.microsoft.com/office/word/2010/wordprocessingGroup">
                  <wpg:wgp>
                    <wpg:cNvGrpSpPr/>
                    <wpg:grpSpPr>
                      <a:xfrm>
                        <a:off x="0" y="0"/>
                        <a:ext cx="696595" cy="165100"/>
                        <a:chOff x="0" y="0"/>
                        <a:chExt cx="2759914" cy="660498"/>
                      </a:xfrm>
                    </wpg:grpSpPr>
                    <wps:wsp>
                      <wps:cNvPr id="952080342" name="object 11">
                        <a:extLst>
                          <a:ext uri="{FF2B5EF4-FFF2-40B4-BE49-F238E27FC236}">
                            <a16:creationId xmlns:a16="http://schemas.microsoft.com/office/drawing/2014/main" id="{B8DAAA05-9FF6-8958-41F5-A038A067EA57}"/>
                          </a:ext>
                        </a:extLst>
                      </wps:cNvPr>
                      <wps:cNvSpPr/>
                      <wps:spPr>
                        <a:xfrm>
                          <a:off x="3" y="188693"/>
                          <a:ext cx="660400" cy="471805"/>
                        </a:xfrm>
                        <a:custGeom>
                          <a:avLst/>
                          <a:gdLst/>
                          <a:ahLst/>
                          <a:cxnLst/>
                          <a:rect l="l" t="t" r="r" b="b"/>
                          <a:pathLst>
                            <a:path w="660400" h="471804">
                              <a:moveTo>
                                <a:pt x="257873" y="0"/>
                              </a:moveTo>
                              <a:lnTo>
                                <a:pt x="0" y="0"/>
                              </a:lnTo>
                              <a:lnTo>
                                <a:pt x="0" y="471716"/>
                              </a:lnTo>
                              <a:lnTo>
                                <a:pt x="128155" y="471716"/>
                              </a:lnTo>
                              <a:lnTo>
                                <a:pt x="128155" y="94195"/>
                              </a:lnTo>
                              <a:lnTo>
                                <a:pt x="128638" y="94195"/>
                              </a:lnTo>
                              <a:lnTo>
                                <a:pt x="134286" y="144694"/>
                              </a:lnTo>
                              <a:lnTo>
                                <a:pt x="145966" y="191374"/>
                              </a:lnTo>
                              <a:lnTo>
                                <a:pt x="163214" y="234127"/>
                              </a:lnTo>
                              <a:lnTo>
                                <a:pt x="185570" y="272842"/>
                              </a:lnTo>
                              <a:lnTo>
                                <a:pt x="212573" y="307412"/>
                              </a:lnTo>
                              <a:lnTo>
                                <a:pt x="243762" y="337726"/>
                              </a:lnTo>
                              <a:lnTo>
                                <a:pt x="278674" y="363676"/>
                              </a:lnTo>
                              <a:lnTo>
                                <a:pt x="316849" y="385152"/>
                              </a:lnTo>
                              <a:lnTo>
                                <a:pt x="357825" y="402046"/>
                              </a:lnTo>
                              <a:lnTo>
                                <a:pt x="401142" y="414249"/>
                              </a:lnTo>
                              <a:lnTo>
                                <a:pt x="446337" y="421650"/>
                              </a:lnTo>
                              <a:lnTo>
                                <a:pt x="492950" y="424141"/>
                              </a:lnTo>
                              <a:lnTo>
                                <a:pt x="660400" y="424154"/>
                              </a:lnTo>
                              <a:lnTo>
                                <a:pt x="660400" y="295998"/>
                              </a:lnTo>
                              <a:lnTo>
                                <a:pt x="511416" y="295998"/>
                              </a:lnTo>
                              <a:lnTo>
                                <a:pt x="453291" y="291945"/>
                              </a:lnTo>
                              <a:lnTo>
                                <a:pt x="402400" y="280121"/>
                              </a:lnTo>
                              <a:lnTo>
                                <a:pt x="358902" y="261029"/>
                              </a:lnTo>
                              <a:lnTo>
                                <a:pt x="322956" y="235175"/>
                              </a:lnTo>
                              <a:lnTo>
                                <a:pt x="294721" y="203061"/>
                              </a:lnTo>
                              <a:lnTo>
                                <a:pt x="274356" y="165193"/>
                              </a:lnTo>
                              <a:lnTo>
                                <a:pt x="262020" y="122073"/>
                              </a:lnTo>
                              <a:lnTo>
                                <a:pt x="257873" y="74206"/>
                              </a:lnTo>
                              <a:lnTo>
                                <a:pt x="257873" y="0"/>
                              </a:lnTo>
                              <a:close/>
                            </a:path>
                          </a:pathLst>
                        </a:custGeom>
                        <a:solidFill>
                          <a:srgbClr val="231F20"/>
                        </a:solidFill>
                      </wps:spPr>
                      <wps:bodyPr wrap="square" lIns="0" tIns="0" rIns="0" bIns="0" rtlCol="0"/>
                    </wps:wsp>
                    <wps:wsp>
                      <wps:cNvPr id="192614782" name="object 12">
                        <a:extLst>
                          <a:ext uri="{FF2B5EF4-FFF2-40B4-BE49-F238E27FC236}">
                            <a16:creationId xmlns:a16="http://schemas.microsoft.com/office/drawing/2014/main" id="{751B5F73-E678-B04C-726B-EE5936426E21}"/>
                          </a:ext>
                        </a:extLst>
                      </wps:cNvPr>
                      <wps:cNvSpPr/>
                      <wps:spPr>
                        <a:xfrm>
                          <a:off x="0" y="0"/>
                          <a:ext cx="660400" cy="126364"/>
                        </a:xfrm>
                        <a:custGeom>
                          <a:avLst/>
                          <a:gdLst/>
                          <a:ahLst/>
                          <a:cxnLst/>
                          <a:rect l="l" t="t" r="r" b="b"/>
                          <a:pathLst>
                            <a:path w="660400" h="126364">
                              <a:moveTo>
                                <a:pt x="660399" y="0"/>
                              </a:moveTo>
                              <a:lnTo>
                                <a:pt x="0" y="0"/>
                              </a:lnTo>
                              <a:lnTo>
                                <a:pt x="0" y="125793"/>
                              </a:lnTo>
                              <a:lnTo>
                                <a:pt x="660399" y="125793"/>
                              </a:lnTo>
                              <a:lnTo>
                                <a:pt x="660399" y="0"/>
                              </a:lnTo>
                              <a:close/>
                            </a:path>
                          </a:pathLst>
                        </a:custGeom>
                        <a:solidFill>
                          <a:srgbClr val="231F20"/>
                        </a:solidFill>
                      </wps:spPr>
                      <wps:bodyPr wrap="square" lIns="0" tIns="0" rIns="0" bIns="0" rtlCol="0"/>
                    </wps:wsp>
                    <wps:wsp>
                      <wps:cNvPr id="1736527410" name="object 13">
                        <a:extLst>
                          <a:ext uri="{FF2B5EF4-FFF2-40B4-BE49-F238E27FC236}">
                            <a16:creationId xmlns:a16="http://schemas.microsoft.com/office/drawing/2014/main" id="{05A92C99-AED0-01CA-305E-EB410CF65F2F}"/>
                          </a:ext>
                        </a:extLst>
                      </wps:cNvPr>
                      <wps:cNvSpPr/>
                      <wps:spPr>
                        <a:xfrm>
                          <a:off x="1100659" y="110540"/>
                          <a:ext cx="1659255" cy="440055"/>
                        </a:xfrm>
                        <a:custGeom>
                          <a:avLst/>
                          <a:gdLst/>
                          <a:ahLst/>
                          <a:cxnLst/>
                          <a:rect l="l" t="t" r="r" b="b"/>
                          <a:pathLst>
                            <a:path w="1659254" h="440054">
                              <a:moveTo>
                                <a:pt x="290156" y="0"/>
                              </a:moveTo>
                              <a:lnTo>
                                <a:pt x="0" y="0"/>
                              </a:lnTo>
                              <a:lnTo>
                                <a:pt x="0" y="53340"/>
                              </a:lnTo>
                              <a:lnTo>
                                <a:pt x="0" y="186690"/>
                              </a:lnTo>
                              <a:lnTo>
                                <a:pt x="0" y="237490"/>
                              </a:lnTo>
                              <a:lnTo>
                                <a:pt x="0" y="430530"/>
                              </a:lnTo>
                              <a:lnTo>
                                <a:pt x="60210" y="430530"/>
                              </a:lnTo>
                              <a:lnTo>
                                <a:pt x="60210" y="237490"/>
                              </a:lnTo>
                              <a:lnTo>
                                <a:pt x="274142" y="237490"/>
                              </a:lnTo>
                              <a:lnTo>
                                <a:pt x="274142" y="186690"/>
                              </a:lnTo>
                              <a:lnTo>
                                <a:pt x="60210" y="186690"/>
                              </a:lnTo>
                              <a:lnTo>
                                <a:pt x="60210" y="53340"/>
                              </a:lnTo>
                              <a:lnTo>
                                <a:pt x="290156" y="53340"/>
                              </a:lnTo>
                              <a:lnTo>
                                <a:pt x="290156" y="0"/>
                              </a:lnTo>
                              <a:close/>
                            </a:path>
                            <a:path w="1659254" h="440054">
                              <a:moveTo>
                                <a:pt x="598360" y="276466"/>
                              </a:moveTo>
                              <a:lnTo>
                                <a:pt x="591337" y="221881"/>
                              </a:lnTo>
                              <a:lnTo>
                                <a:pt x="571461" y="179120"/>
                              </a:lnTo>
                              <a:lnTo>
                                <a:pt x="543280" y="148361"/>
                              </a:lnTo>
                              <a:lnTo>
                                <a:pt x="543280" y="272618"/>
                              </a:lnTo>
                              <a:lnTo>
                                <a:pt x="541794" y="300507"/>
                              </a:lnTo>
                              <a:lnTo>
                                <a:pt x="529945" y="346786"/>
                              </a:lnTo>
                              <a:lnTo>
                                <a:pt x="506323" y="379895"/>
                              </a:lnTo>
                              <a:lnTo>
                                <a:pt x="471411" y="396709"/>
                              </a:lnTo>
                              <a:lnTo>
                                <a:pt x="449757" y="398805"/>
                              </a:lnTo>
                              <a:lnTo>
                                <a:pt x="435444" y="397992"/>
                              </a:lnTo>
                              <a:lnTo>
                                <a:pt x="392811" y="378777"/>
                              </a:lnTo>
                              <a:lnTo>
                                <a:pt x="369150" y="344627"/>
                              </a:lnTo>
                              <a:lnTo>
                                <a:pt x="359791" y="306476"/>
                              </a:lnTo>
                              <a:lnTo>
                                <a:pt x="358343" y="289979"/>
                              </a:lnTo>
                              <a:lnTo>
                                <a:pt x="358355" y="276466"/>
                              </a:lnTo>
                              <a:lnTo>
                                <a:pt x="363207" y="234594"/>
                              </a:lnTo>
                              <a:lnTo>
                                <a:pt x="381939" y="193763"/>
                              </a:lnTo>
                              <a:lnTo>
                                <a:pt x="422452" y="163982"/>
                              </a:lnTo>
                              <a:lnTo>
                                <a:pt x="454240" y="159893"/>
                              </a:lnTo>
                              <a:lnTo>
                                <a:pt x="466534" y="160540"/>
                              </a:lnTo>
                              <a:lnTo>
                                <a:pt x="505358" y="175641"/>
                              </a:lnTo>
                              <a:lnTo>
                                <a:pt x="533425" y="214020"/>
                              </a:lnTo>
                              <a:lnTo>
                                <a:pt x="542239" y="253161"/>
                              </a:lnTo>
                              <a:lnTo>
                                <a:pt x="543280" y="272618"/>
                              </a:lnTo>
                              <a:lnTo>
                                <a:pt x="543280" y="148361"/>
                              </a:lnTo>
                              <a:lnTo>
                                <a:pt x="507085" y="128181"/>
                              </a:lnTo>
                              <a:lnTo>
                                <a:pt x="467995" y="119481"/>
                              </a:lnTo>
                              <a:lnTo>
                                <a:pt x="454888" y="118897"/>
                              </a:lnTo>
                              <a:lnTo>
                                <a:pt x="431444" y="120040"/>
                              </a:lnTo>
                              <a:lnTo>
                                <a:pt x="391883" y="129171"/>
                              </a:lnTo>
                              <a:lnTo>
                                <a:pt x="349364" y="157251"/>
                              </a:lnTo>
                              <a:lnTo>
                                <a:pt x="322173" y="193941"/>
                              </a:lnTo>
                              <a:lnTo>
                                <a:pt x="307886" y="233870"/>
                              </a:lnTo>
                              <a:lnTo>
                                <a:pt x="302437" y="279019"/>
                              </a:lnTo>
                              <a:lnTo>
                                <a:pt x="303136" y="298259"/>
                              </a:lnTo>
                              <a:lnTo>
                                <a:pt x="313651" y="348526"/>
                              </a:lnTo>
                              <a:lnTo>
                                <a:pt x="335318" y="387794"/>
                              </a:lnTo>
                              <a:lnTo>
                                <a:pt x="366331" y="416267"/>
                              </a:lnTo>
                              <a:lnTo>
                                <a:pt x="405244" y="433857"/>
                              </a:lnTo>
                              <a:lnTo>
                                <a:pt x="450405" y="439801"/>
                              </a:lnTo>
                              <a:lnTo>
                                <a:pt x="465251" y="439166"/>
                              </a:lnTo>
                              <a:lnTo>
                                <a:pt x="507403" y="429552"/>
                              </a:lnTo>
                              <a:lnTo>
                                <a:pt x="543979" y="408419"/>
                              </a:lnTo>
                              <a:lnTo>
                                <a:pt x="572579" y="375754"/>
                              </a:lnTo>
                              <a:lnTo>
                                <a:pt x="591693" y="331597"/>
                              </a:lnTo>
                              <a:lnTo>
                                <a:pt x="597623" y="296049"/>
                              </a:lnTo>
                              <a:lnTo>
                                <a:pt x="598360" y="276466"/>
                              </a:lnTo>
                              <a:close/>
                            </a:path>
                            <a:path w="1659254" h="440054">
                              <a:moveTo>
                                <a:pt x="781062" y="124663"/>
                              </a:moveTo>
                              <a:lnTo>
                                <a:pt x="743165" y="129527"/>
                              </a:lnTo>
                              <a:lnTo>
                                <a:pt x="706120" y="149009"/>
                              </a:lnTo>
                              <a:lnTo>
                                <a:pt x="677938" y="183591"/>
                              </a:lnTo>
                              <a:lnTo>
                                <a:pt x="677938" y="128511"/>
                              </a:lnTo>
                              <a:lnTo>
                                <a:pt x="626694" y="128511"/>
                              </a:lnTo>
                              <a:lnTo>
                                <a:pt x="626694" y="430199"/>
                              </a:lnTo>
                              <a:lnTo>
                                <a:pt x="677938" y="430199"/>
                              </a:lnTo>
                              <a:lnTo>
                                <a:pt x="677938" y="290563"/>
                              </a:lnTo>
                              <a:lnTo>
                                <a:pt x="678091" y="271424"/>
                              </a:lnTo>
                              <a:lnTo>
                                <a:pt x="687133" y="221602"/>
                              </a:lnTo>
                              <a:lnTo>
                                <a:pt x="711885" y="192239"/>
                              </a:lnTo>
                              <a:lnTo>
                                <a:pt x="747788" y="178727"/>
                              </a:lnTo>
                              <a:lnTo>
                                <a:pt x="761212" y="177838"/>
                              </a:lnTo>
                              <a:lnTo>
                                <a:pt x="768032" y="177838"/>
                              </a:lnTo>
                              <a:lnTo>
                                <a:pt x="774661" y="178473"/>
                              </a:lnTo>
                              <a:lnTo>
                                <a:pt x="781062" y="179755"/>
                              </a:lnTo>
                              <a:lnTo>
                                <a:pt x="781062" y="124663"/>
                              </a:lnTo>
                              <a:close/>
                            </a:path>
                            <a:path w="1659254" h="440054">
                              <a:moveTo>
                                <a:pt x="1079207" y="321310"/>
                              </a:moveTo>
                              <a:lnTo>
                                <a:pt x="1024128" y="316179"/>
                              </a:lnTo>
                              <a:lnTo>
                                <a:pt x="1022921" y="324878"/>
                              </a:lnTo>
                              <a:lnTo>
                                <a:pt x="1021245" y="333260"/>
                              </a:lnTo>
                              <a:lnTo>
                                <a:pt x="1005446" y="369404"/>
                              </a:lnTo>
                              <a:lnTo>
                                <a:pt x="967359" y="395274"/>
                              </a:lnTo>
                              <a:lnTo>
                                <a:pt x="938288" y="398818"/>
                              </a:lnTo>
                              <a:lnTo>
                                <a:pt x="916355" y="396709"/>
                              </a:lnTo>
                              <a:lnTo>
                                <a:pt x="881126" y="379818"/>
                              </a:lnTo>
                              <a:lnTo>
                                <a:pt x="857465" y="346925"/>
                              </a:lnTo>
                              <a:lnTo>
                                <a:pt x="845616" y="303276"/>
                              </a:lnTo>
                              <a:lnTo>
                                <a:pt x="844130" y="277749"/>
                              </a:lnTo>
                              <a:lnTo>
                                <a:pt x="844613" y="261239"/>
                              </a:lnTo>
                              <a:lnTo>
                                <a:pt x="851763" y="220091"/>
                              </a:lnTo>
                              <a:lnTo>
                                <a:pt x="872109" y="182499"/>
                              </a:lnTo>
                              <a:lnTo>
                                <a:pt x="909205" y="159461"/>
                              </a:lnTo>
                              <a:lnTo>
                                <a:pt x="934415" y="156057"/>
                              </a:lnTo>
                              <a:lnTo>
                                <a:pt x="950468" y="157175"/>
                              </a:lnTo>
                              <a:lnTo>
                                <a:pt x="989088" y="173990"/>
                              </a:lnTo>
                              <a:lnTo>
                                <a:pt x="1011974" y="209537"/>
                              </a:lnTo>
                              <a:lnTo>
                                <a:pt x="1015796" y="225234"/>
                              </a:lnTo>
                              <a:lnTo>
                                <a:pt x="1073442" y="220103"/>
                              </a:lnTo>
                              <a:lnTo>
                                <a:pt x="1055763" y="177368"/>
                              </a:lnTo>
                              <a:lnTo>
                                <a:pt x="1025944" y="145986"/>
                              </a:lnTo>
                              <a:lnTo>
                                <a:pt x="979906" y="124307"/>
                              </a:lnTo>
                              <a:lnTo>
                                <a:pt x="933831" y="118897"/>
                              </a:lnTo>
                              <a:lnTo>
                                <a:pt x="916051" y="119697"/>
                              </a:lnTo>
                              <a:lnTo>
                                <a:pt x="869480" y="131711"/>
                              </a:lnTo>
                              <a:lnTo>
                                <a:pt x="833234" y="156146"/>
                              </a:lnTo>
                              <a:lnTo>
                                <a:pt x="807389" y="190563"/>
                              </a:lnTo>
                              <a:lnTo>
                                <a:pt x="791730" y="233197"/>
                              </a:lnTo>
                              <a:lnTo>
                                <a:pt x="786485" y="281597"/>
                              </a:lnTo>
                              <a:lnTo>
                                <a:pt x="787107" y="298551"/>
                              </a:lnTo>
                              <a:lnTo>
                                <a:pt x="796455" y="345325"/>
                              </a:lnTo>
                              <a:lnTo>
                                <a:pt x="816660" y="384365"/>
                              </a:lnTo>
                              <a:lnTo>
                                <a:pt x="847128" y="413867"/>
                              </a:lnTo>
                              <a:lnTo>
                                <a:pt x="887044" y="433133"/>
                              </a:lnTo>
                              <a:lnTo>
                                <a:pt x="936396" y="439801"/>
                              </a:lnTo>
                              <a:lnTo>
                                <a:pt x="949121" y="439420"/>
                              </a:lnTo>
                              <a:lnTo>
                                <a:pt x="997038" y="430174"/>
                              </a:lnTo>
                              <a:lnTo>
                                <a:pt x="1036726" y="405955"/>
                              </a:lnTo>
                              <a:lnTo>
                                <a:pt x="1065758" y="364718"/>
                              </a:lnTo>
                              <a:lnTo>
                                <a:pt x="1075563" y="337019"/>
                              </a:lnTo>
                              <a:lnTo>
                                <a:pt x="1079207" y="321310"/>
                              </a:lnTo>
                              <a:close/>
                            </a:path>
                            <a:path w="1659254" h="440054">
                              <a:moveTo>
                                <a:pt x="1360690" y="128511"/>
                              </a:moveTo>
                              <a:lnTo>
                                <a:pt x="1309446" y="128511"/>
                              </a:lnTo>
                              <a:lnTo>
                                <a:pt x="1309446" y="282498"/>
                              </a:lnTo>
                              <a:lnTo>
                                <a:pt x="1308963" y="301028"/>
                              </a:lnTo>
                              <a:lnTo>
                                <a:pt x="1299641" y="346265"/>
                              </a:lnTo>
                              <a:lnTo>
                                <a:pt x="1268945" y="378028"/>
                              </a:lnTo>
                              <a:lnTo>
                                <a:pt x="1226324" y="389204"/>
                              </a:lnTo>
                              <a:lnTo>
                                <a:pt x="1211948" y="388607"/>
                              </a:lnTo>
                              <a:lnTo>
                                <a:pt x="1175512" y="370039"/>
                              </a:lnTo>
                              <a:lnTo>
                                <a:pt x="1162024" y="329704"/>
                              </a:lnTo>
                              <a:lnTo>
                                <a:pt x="1161491" y="128511"/>
                              </a:lnTo>
                              <a:lnTo>
                                <a:pt x="1110246" y="128511"/>
                              </a:lnTo>
                              <a:lnTo>
                                <a:pt x="1110246" y="322592"/>
                              </a:lnTo>
                              <a:lnTo>
                                <a:pt x="1110386" y="332193"/>
                              </a:lnTo>
                              <a:lnTo>
                                <a:pt x="1114145" y="370547"/>
                              </a:lnTo>
                              <a:lnTo>
                                <a:pt x="1134897" y="410743"/>
                              </a:lnTo>
                              <a:lnTo>
                                <a:pt x="1170457" y="432117"/>
                              </a:lnTo>
                              <a:lnTo>
                                <a:pt x="1206322" y="437883"/>
                              </a:lnTo>
                              <a:lnTo>
                                <a:pt x="1221232" y="436981"/>
                              </a:lnTo>
                              <a:lnTo>
                                <a:pt x="1264297" y="423468"/>
                              </a:lnTo>
                              <a:lnTo>
                                <a:pt x="1299781" y="395909"/>
                              </a:lnTo>
                              <a:lnTo>
                                <a:pt x="1308811" y="384086"/>
                              </a:lnTo>
                              <a:lnTo>
                                <a:pt x="1308811" y="430199"/>
                              </a:lnTo>
                              <a:lnTo>
                                <a:pt x="1360690" y="430199"/>
                              </a:lnTo>
                              <a:lnTo>
                                <a:pt x="1360690" y="128511"/>
                              </a:lnTo>
                              <a:close/>
                            </a:path>
                            <a:path w="1659254" h="440054">
                              <a:moveTo>
                                <a:pt x="1659178" y="344360"/>
                              </a:moveTo>
                              <a:lnTo>
                                <a:pt x="1647291" y="302514"/>
                              </a:lnTo>
                              <a:lnTo>
                                <a:pt x="1615274" y="275513"/>
                              </a:lnTo>
                              <a:lnTo>
                                <a:pt x="1569288" y="259257"/>
                              </a:lnTo>
                              <a:lnTo>
                                <a:pt x="1529562" y="249567"/>
                              </a:lnTo>
                              <a:lnTo>
                                <a:pt x="1513281" y="245325"/>
                              </a:lnTo>
                              <a:lnTo>
                                <a:pt x="1475930" y="231635"/>
                              </a:lnTo>
                              <a:lnTo>
                                <a:pt x="1456766" y="202171"/>
                              </a:lnTo>
                              <a:lnTo>
                                <a:pt x="1456766" y="197472"/>
                              </a:lnTo>
                              <a:lnTo>
                                <a:pt x="1481632" y="164922"/>
                              </a:lnTo>
                              <a:lnTo>
                                <a:pt x="1516062" y="157975"/>
                              </a:lnTo>
                              <a:lnTo>
                                <a:pt x="1523860" y="158191"/>
                              </a:lnTo>
                              <a:lnTo>
                                <a:pt x="1561223" y="166941"/>
                              </a:lnTo>
                              <a:lnTo>
                                <a:pt x="1589824" y="192138"/>
                              </a:lnTo>
                              <a:lnTo>
                                <a:pt x="1596402" y="224586"/>
                              </a:lnTo>
                              <a:lnTo>
                                <a:pt x="1651495" y="218186"/>
                              </a:lnTo>
                              <a:lnTo>
                                <a:pt x="1639582" y="179006"/>
                              </a:lnTo>
                              <a:lnTo>
                                <a:pt x="1610017" y="145491"/>
                              </a:lnTo>
                              <a:lnTo>
                                <a:pt x="1573999" y="126771"/>
                              </a:lnTo>
                              <a:lnTo>
                                <a:pt x="1534274" y="119214"/>
                              </a:lnTo>
                              <a:lnTo>
                                <a:pt x="1522742" y="118897"/>
                              </a:lnTo>
                              <a:lnTo>
                                <a:pt x="1512468" y="119189"/>
                              </a:lnTo>
                              <a:lnTo>
                                <a:pt x="1471256" y="126466"/>
                              </a:lnTo>
                              <a:lnTo>
                                <a:pt x="1435544" y="144767"/>
                              </a:lnTo>
                              <a:lnTo>
                                <a:pt x="1411478" y="175602"/>
                              </a:lnTo>
                              <a:lnTo>
                                <a:pt x="1405521" y="208572"/>
                              </a:lnTo>
                              <a:lnTo>
                                <a:pt x="1405839" y="216420"/>
                              </a:lnTo>
                              <a:lnTo>
                                <a:pt x="1422476" y="256768"/>
                              </a:lnTo>
                              <a:lnTo>
                                <a:pt x="1461579" y="281914"/>
                              </a:lnTo>
                              <a:lnTo>
                                <a:pt x="1498384" y="293255"/>
                              </a:lnTo>
                              <a:lnTo>
                                <a:pt x="1549425" y="303377"/>
                              </a:lnTo>
                              <a:lnTo>
                                <a:pt x="1571523" y="308292"/>
                              </a:lnTo>
                              <a:lnTo>
                                <a:pt x="1603336" y="333794"/>
                              </a:lnTo>
                              <a:lnTo>
                                <a:pt x="1605368" y="341160"/>
                              </a:lnTo>
                              <a:lnTo>
                                <a:pt x="1605368" y="350126"/>
                              </a:lnTo>
                              <a:lnTo>
                                <a:pt x="1586928" y="387819"/>
                              </a:lnTo>
                              <a:lnTo>
                                <a:pt x="1548879" y="400088"/>
                              </a:lnTo>
                              <a:lnTo>
                                <a:pt x="1541691" y="400735"/>
                              </a:lnTo>
                              <a:lnTo>
                                <a:pt x="1525968" y="400469"/>
                              </a:lnTo>
                              <a:lnTo>
                                <a:pt x="1481709" y="389763"/>
                              </a:lnTo>
                              <a:lnTo>
                                <a:pt x="1455204" y="358876"/>
                              </a:lnTo>
                              <a:lnTo>
                                <a:pt x="1450365" y="324510"/>
                              </a:lnTo>
                              <a:lnTo>
                                <a:pt x="1392720" y="332841"/>
                              </a:lnTo>
                              <a:lnTo>
                                <a:pt x="1404569" y="374472"/>
                              </a:lnTo>
                              <a:lnTo>
                                <a:pt x="1429550" y="408419"/>
                              </a:lnTo>
                              <a:lnTo>
                                <a:pt x="1471180" y="431482"/>
                              </a:lnTo>
                              <a:lnTo>
                                <a:pt x="1515427" y="439280"/>
                              </a:lnTo>
                              <a:lnTo>
                                <a:pt x="1532991" y="439801"/>
                              </a:lnTo>
                              <a:lnTo>
                                <a:pt x="1546199" y="439381"/>
                              </a:lnTo>
                              <a:lnTo>
                                <a:pt x="1594104" y="429361"/>
                              </a:lnTo>
                              <a:lnTo>
                                <a:pt x="1631010" y="407301"/>
                              </a:lnTo>
                              <a:lnTo>
                                <a:pt x="1653768" y="374688"/>
                              </a:lnTo>
                              <a:lnTo>
                                <a:pt x="1658581" y="354990"/>
                              </a:lnTo>
                              <a:lnTo>
                                <a:pt x="1659178" y="344360"/>
                              </a:lnTo>
                              <a:close/>
                            </a:path>
                          </a:pathLst>
                        </a:custGeom>
                        <a:solidFill>
                          <a:srgbClr val="231F20"/>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773B93A0" id="グループ化 54" o:spid="_x0000_s1026" style="position:absolute;margin-left:0;margin-top:24.65pt;width:54.85pt;height:13pt;z-index:251281920;mso-position-horizontal:center;mso-position-horizontal-relative:margin;mso-width-relative:margin;mso-height-relative:margin" coordsize="27599,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">
              <v:shape id="object 11" o:spid="_x0000_s1027" style="position:absolute;top:1886;width:6604;height:4718;visibility:visible;mso-wrap-style:square;v-text-anchor:top" coordsize="660400,47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" path="m257873,l,,,471716r128155,l128155,94195r483,l134286,144694r11680,46680l163214,234127r22356,38715l212573,307412r31189,30314l278674,363676r38175,21476l357825,402046r43317,12203l446337,421650r46613,2491l660400,424154r,-128156l511416,295998r-58125,-4053l402400,280121,358902,261029,322956,235175,294721,203061,274356,165193,262020,122073,257873,74206,257873,xe" fillcolor="#231f20" stroked="f">
                <v:path arrowok="t"/>
              </v:shape>
              <v:shape id="object 12" o:spid="_x0000_s1028" style="position:absolute;width:6604;height:1263;visibility:visible;mso-wrap-style:square;v-text-anchor:top" coordsize="66040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" path="m660399,l,,,125793r660399,l660399,xe" fillcolor="#231f20" stroked="f">
                <v:path arrowok="t"/>
              </v:shape>
              <v:shape id="object 13" o:spid="_x0000_s1029" style="position:absolute;left:11006;top:1105;width:16593;height:4400;visibility:visible;mso-wrap-style:square;v-text-anchor:top" coordsize="1659254,440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" path="m290156,l,,,53340,,186690r,50800l,430530r60210,l60210,237490r213932,l274142,186690r-213932,l60210,53340r229946,l290156,xem598360,276466r-7023,-54585l571461,179120,543280,148361r,124257l541794,300507r-11849,46279l506323,379895r-34912,16814l449757,398805r-14313,-813l392811,378777,369150,344627r-9359,-38151l358343,289979r12,-13513l363207,234594r18732,-40831l422452,163982r31788,-4089l466534,160540r38824,15101l533425,214020r8814,39141l543280,272618r,-124257l507085,128181r-39090,-8700l454888,118897r-23444,1143l391883,129171r-42519,28080l322173,193941r-14287,39929l302437,279019r699,19240l313651,348526r21667,39268l366331,416267r38913,17590l450405,439801r14846,-635l507403,429552r36576,-21133l572579,375754r19114,-44157l597623,296049r737,-19583xem781062,124663r-37897,4864l706120,149009r-28182,34582l677938,128511r-51244,l626694,430199r51244,l677938,290563r153,-19139l687133,221602r24752,-29363l747788,178727r13424,-889l768032,177838r6629,635l781062,179755r,-55092xem1079207,321310r-55079,-5131l1022921,324878r-1676,8382l1005446,369404r-38087,25870l938288,398818r-21933,-2109l881126,379818,857465,346925,845616,303276r-1486,-25527l844613,261239r7150,-41148l872109,182499r37096,-23038l934415,156057r16053,1118l989088,173990r22886,35547l1015796,225234r57646,-5131l1055763,177368r-29819,-31382l979906,124307r-46075,-5410l916051,119697r-46571,12014l833234,156146r-25845,34417l791730,233197r-5245,48400l787107,298551r9348,46774l816660,384365r30468,29502l887044,433133r49352,6668l949121,439420r47917,-9246l1036726,405955r29032,-41237l1075563,337019r3644,-15709xem1360690,128511r-51244,l1309446,282498r-483,18530l1299641,346265r-30696,31763l1226324,389204r-14376,-597l1175512,370039r-13488,-40335l1161491,128511r-51245,l1110246,322592r140,9601l1114145,370547r20752,40196l1170457,432117r35865,5766l1221232,436981r43065,-13513l1299781,395909r9030,-11823l1308811,430199r51879,l1360690,128511xem1659178,344360r-11887,-41846l1615274,275513r-45986,-16256l1529562,249567r-16281,-4242l1475930,231635r-19164,-29464l1456766,197472r24866,-32550l1516062,157975r7798,216l1561223,166941r28601,25197l1596402,224586r55093,-6400l1639582,179006r-29565,-33515l1573999,126771r-39725,-7557l1522742,118897r-10274,292l1471256,126466r-35712,18301l1411478,175602r-5957,32970l1405839,216420r16637,40348l1461579,281914r36805,11341l1549425,303377r22098,4915l1603336,333794r2032,7366l1605368,350126r-18440,37693l1548879,400088r-7188,647l1525968,400469r-44259,-10706l1455204,358876r-4839,-34366l1392720,332841r11849,41631l1429550,408419r41630,23063l1515427,439280r17564,521l1546199,439381r47905,-10020l1631010,407301r22758,-32613l1658581,354990r597,-10630xe" fillcolor="#231f20" stroked="f">
                <v:path arrowok="t"/>
              </v:shape>
              <w10:wrap anchorx="margin"/>
            </v:group>
          </w:pict>
        </mc:Fallback>
      </mc:AlternateContent>
    </w:r>
    <w:r w:rsidR="00BD32E4" w:rsidRPr="00575A26">
      <w:rPr>
        <w:color w:val="AEAAAA" w:themeColor="background2" w:themeShade="BF"/>
        <w:sz w:val="18"/>
        <w:szCs w:val="18"/>
      </w:rPr>
      <w:fldChar w:fldCharType="begin"/>
    </w:r>
    <w:r w:rsidR="00BD32E4" w:rsidRPr="00575A26">
      <w:rPr>
        <w:color w:val="AEAAAA" w:themeColor="background2" w:themeShade="BF"/>
        <w:sz w:val="18"/>
        <w:szCs w:val="18"/>
      </w:rPr>
      <w:instrText>PAGE   \* MERGEFORMAT</w:instrText>
    </w:r>
    <w:r w:rsidR="00BD32E4" w:rsidRPr="00575A26">
      <w:rPr>
        <w:color w:val="AEAAAA" w:themeColor="background2" w:themeShade="BF"/>
        <w:sz w:val="18"/>
        <w:szCs w:val="18"/>
      </w:rPr>
      <w:fldChar w:fldCharType="separate"/>
    </w:r>
    <w:r w:rsidR="00BD32E4" w:rsidRPr="00575A26">
      <w:rPr>
        <w:color w:val="AEAAAA" w:themeColor="background2" w:themeShade="BF"/>
        <w:sz w:val="18"/>
        <w:szCs w:val="18"/>
      </w:rPr>
      <w:t>1</w:t>
    </w:r>
    <w:r w:rsidR="00BD32E4" w:rsidRPr="00575A26">
      <w:rPr>
        <w:color w:val="AEAAAA" w:themeColor="background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02FB" w14:textId="77777777" w:rsidR="00B340AB" w:rsidRDefault="00B340AB" w:rsidP="00C24EAA">
      <w:pPr>
        <w:spacing w:after="0" w:line="240" w:lineRule="auto"/>
      </w:pPr>
      <w:r>
        <w:separator/>
      </w:r>
    </w:p>
  </w:footnote>
  <w:footnote w:type="continuationSeparator" w:id="0">
    <w:p w14:paraId="116F32D7" w14:textId="77777777" w:rsidR="00B340AB" w:rsidRDefault="00B340AB" w:rsidP="00C24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8256" w14:textId="77777777" w:rsidR="001F2D3B" w:rsidRDefault="001F2D3B">
    <w:pPr>
      <w:pStyle w:val="a3"/>
    </w:pPr>
  </w:p>
  <w:p w14:paraId="1E62FFB3" w14:textId="77777777" w:rsidR="006C7ED7" w:rsidRDefault="006C7ED7">
    <w:pPr>
      <w:pStyle w:val="a3"/>
    </w:pPr>
    <w:r w:rsidRPr="0067552C">
      <w:rPr>
        <w:noProof/>
        <w:color w:val="040404"/>
      </w:rPr>
      <mc:AlternateContent>
        <mc:Choice Requires="wps">
          <w:drawing>
            <wp:anchor distT="0" distB="0" distL="114300" distR="114300" simplePos="0" relativeHeight="251511296" behindDoc="0" locked="0" layoutInCell="1" allowOverlap="1" wp14:anchorId="77A42DAF" wp14:editId="70798B0E">
              <wp:simplePos x="0" y="0"/>
              <wp:positionH relativeFrom="margin">
                <wp:posOffset>5080</wp:posOffset>
              </wp:positionH>
              <wp:positionV relativeFrom="paragraph">
                <wp:posOffset>140335</wp:posOffset>
              </wp:positionV>
              <wp:extent cx="5394960" cy="0"/>
              <wp:effectExtent l="0" t="0" r="0" b="0"/>
              <wp:wrapNone/>
              <wp:docPr id="1479014678" name="直線コネクタ 19"/>
              <wp:cNvGraphicFramePr/>
              <a:graphic xmlns:a="http://schemas.openxmlformats.org/drawingml/2006/main">
                <a:graphicData uri="http://schemas.microsoft.com/office/word/2010/wordprocessingShape">
                  <wps:wsp>
                    <wps:cNvCnPr/>
                    <wps:spPr>
                      <a:xfrm>
                        <a:off x="0" y="0"/>
                        <a:ext cx="5394960" cy="0"/>
                      </a:xfrm>
                      <a:prstGeom prst="line">
                        <a:avLst/>
                      </a:prstGeom>
                      <a:noFill/>
                      <a:ln w="1905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anchor>
          </w:drawing>
        </mc:Choice>
        <mc:Fallback>
          <w:pict>
            <v:line w14:anchorId="3B7AF22D" id="直線コネクタ 19" o:spid="_x0000_s1026" style="position:absolute;z-index:251511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pt,11.05pt" to="425.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" strokecolor="#bfbfbf [2412]"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7D4A"/>
    <w:multiLevelType w:val="hybridMultilevel"/>
    <w:tmpl w:val="05D047D4"/>
    <w:lvl w:ilvl="0" w:tplc="0409000F">
      <w:start w:val="1"/>
      <w:numFmt w:val="decimal"/>
      <w:lvlText w:val="%1."/>
      <w:lvlJc w:val="left"/>
      <w:pPr>
        <w:ind w:left="440" w:hanging="440"/>
      </w:pPr>
    </w:lvl>
    <w:lvl w:ilvl="1" w:tplc="04090009">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797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F"/>
    <w:rsid w:val="00006E3C"/>
    <w:rsid w:val="00011E6E"/>
    <w:rsid w:val="0002082C"/>
    <w:rsid w:val="00023E05"/>
    <w:rsid w:val="000B05B8"/>
    <w:rsid w:val="000C7E11"/>
    <w:rsid w:val="000D2036"/>
    <w:rsid w:val="000F4AFB"/>
    <w:rsid w:val="0011704B"/>
    <w:rsid w:val="001264DE"/>
    <w:rsid w:val="00132308"/>
    <w:rsid w:val="001369A3"/>
    <w:rsid w:val="00152BF9"/>
    <w:rsid w:val="00162273"/>
    <w:rsid w:val="00171E69"/>
    <w:rsid w:val="0019317A"/>
    <w:rsid w:val="00197F6F"/>
    <w:rsid w:val="001A6600"/>
    <w:rsid w:val="001B443B"/>
    <w:rsid w:val="001F2D3B"/>
    <w:rsid w:val="00216C26"/>
    <w:rsid w:val="0022408A"/>
    <w:rsid w:val="00233A47"/>
    <w:rsid w:val="00235DBE"/>
    <w:rsid w:val="0027263D"/>
    <w:rsid w:val="00281C33"/>
    <w:rsid w:val="002D3FE1"/>
    <w:rsid w:val="002D6F08"/>
    <w:rsid w:val="002F5255"/>
    <w:rsid w:val="0031787D"/>
    <w:rsid w:val="003403A7"/>
    <w:rsid w:val="00350841"/>
    <w:rsid w:val="00375EF8"/>
    <w:rsid w:val="00397BA8"/>
    <w:rsid w:val="003A1D0F"/>
    <w:rsid w:val="003B66DC"/>
    <w:rsid w:val="003B7EFF"/>
    <w:rsid w:val="00410E18"/>
    <w:rsid w:val="0043625F"/>
    <w:rsid w:val="00436FCE"/>
    <w:rsid w:val="0044071A"/>
    <w:rsid w:val="00451DB7"/>
    <w:rsid w:val="00452D40"/>
    <w:rsid w:val="00463A9A"/>
    <w:rsid w:val="004A1DFE"/>
    <w:rsid w:val="004A4392"/>
    <w:rsid w:val="004B7894"/>
    <w:rsid w:val="004C0088"/>
    <w:rsid w:val="005007BA"/>
    <w:rsid w:val="00575A26"/>
    <w:rsid w:val="0057611A"/>
    <w:rsid w:val="00597AD6"/>
    <w:rsid w:val="005A2C81"/>
    <w:rsid w:val="005A46EB"/>
    <w:rsid w:val="005D12D7"/>
    <w:rsid w:val="005D5BBE"/>
    <w:rsid w:val="005E4D89"/>
    <w:rsid w:val="005F4634"/>
    <w:rsid w:val="006031D1"/>
    <w:rsid w:val="00613198"/>
    <w:rsid w:val="00627AF1"/>
    <w:rsid w:val="006514C2"/>
    <w:rsid w:val="0067552C"/>
    <w:rsid w:val="00682241"/>
    <w:rsid w:val="006A1D03"/>
    <w:rsid w:val="006C7ED7"/>
    <w:rsid w:val="006E2002"/>
    <w:rsid w:val="006E77F0"/>
    <w:rsid w:val="00710C80"/>
    <w:rsid w:val="007734AC"/>
    <w:rsid w:val="007A117E"/>
    <w:rsid w:val="007A7C46"/>
    <w:rsid w:val="007B5C5F"/>
    <w:rsid w:val="007C7DD8"/>
    <w:rsid w:val="007D6D83"/>
    <w:rsid w:val="007E71FB"/>
    <w:rsid w:val="007E7E8B"/>
    <w:rsid w:val="00821ADA"/>
    <w:rsid w:val="008354A6"/>
    <w:rsid w:val="008424CF"/>
    <w:rsid w:val="00844379"/>
    <w:rsid w:val="00854710"/>
    <w:rsid w:val="008626BA"/>
    <w:rsid w:val="00870105"/>
    <w:rsid w:val="008727E2"/>
    <w:rsid w:val="008A7B9A"/>
    <w:rsid w:val="008B58D0"/>
    <w:rsid w:val="00903E54"/>
    <w:rsid w:val="00923A6B"/>
    <w:rsid w:val="00925D57"/>
    <w:rsid w:val="00986F8D"/>
    <w:rsid w:val="009A638E"/>
    <w:rsid w:val="00A04A9A"/>
    <w:rsid w:val="00A21C05"/>
    <w:rsid w:val="00A22CB3"/>
    <w:rsid w:val="00A73392"/>
    <w:rsid w:val="00A83807"/>
    <w:rsid w:val="00A86D3D"/>
    <w:rsid w:val="00AA2F2F"/>
    <w:rsid w:val="00AC33D5"/>
    <w:rsid w:val="00AD2ECC"/>
    <w:rsid w:val="00AD3800"/>
    <w:rsid w:val="00B26BC2"/>
    <w:rsid w:val="00B340AB"/>
    <w:rsid w:val="00B358FC"/>
    <w:rsid w:val="00B705A4"/>
    <w:rsid w:val="00B74DB6"/>
    <w:rsid w:val="00BB4845"/>
    <w:rsid w:val="00BD32E4"/>
    <w:rsid w:val="00C16644"/>
    <w:rsid w:val="00C24EAA"/>
    <w:rsid w:val="00C3493F"/>
    <w:rsid w:val="00C6333A"/>
    <w:rsid w:val="00C82650"/>
    <w:rsid w:val="00C84EB9"/>
    <w:rsid w:val="00CA6CC6"/>
    <w:rsid w:val="00D017A4"/>
    <w:rsid w:val="00D269A8"/>
    <w:rsid w:val="00D37CA3"/>
    <w:rsid w:val="00D56C1E"/>
    <w:rsid w:val="00D64BDB"/>
    <w:rsid w:val="00D65109"/>
    <w:rsid w:val="00D9462D"/>
    <w:rsid w:val="00DC3873"/>
    <w:rsid w:val="00DC4C6D"/>
    <w:rsid w:val="00DD59B7"/>
    <w:rsid w:val="00DE1791"/>
    <w:rsid w:val="00DF6F23"/>
    <w:rsid w:val="00E14C57"/>
    <w:rsid w:val="00E20A2F"/>
    <w:rsid w:val="00E360A1"/>
    <w:rsid w:val="00E4735A"/>
    <w:rsid w:val="00E604ED"/>
    <w:rsid w:val="00E6133C"/>
    <w:rsid w:val="00E839BD"/>
    <w:rsid w:val="00E83B37"/>
    <w:rsid w:val="00EA48C8"/>
    <w:rsid w:val="00EC1A45"/>
    <w:rsid w:val="00EC3F2C"/>
    <w:rsid w:val="00EC4963"/>
    <w:rsid w:val="00F442A3"/>
    <w:rsid w:val="00F764B3"/>
    <w:rsid w:val="00F85438"/>
    <w:rsid w:val="00F86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F9F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105"/>
    <w:pPr>
      <w:spacing w:after="120" w:line="264" w:lineRule="auto"/>
    </w:pPr>
    <w:rPr>
      <w:rFonts w:ascii="游ゴシック" w:hAnsi="游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EAA"/>
    <w:pPr>
      <w:tabs>
        <w:tab w:val="center" w:pos="4252"/>
        <w:tab w:val="right" w:pos="8504"/>
      </w:tabs>
      <w:snapToGrid w:val="0"/>
    </w:pPr>
  </w:style>
  <w:style w:type="character" w:customStyle="1" w:styleId="a4">
    <w:name w:val="ヘッダー (文字)"/>
    <w:basedOn w:val="a0"/>
    <w:link w:val="a3"/>
    <w:uiPriority w:val="99"/>
    <w:rsid w:val="00C24EAA"/>
  </w:style>
  <w:style w:type="paragraph" w:styleId="a5">
    <w:name w:val="footer"/>
    <w:basedOn w:val="a"/>
    <w:link w:val="a6"/>
    <w:uiPriority w:val="99"/>
    <w:unhideWhenUsed/>
    <w:rsid w:val="00C24EAA"/>
    <w:pPr>
      <w:tabs>
        <w:tab w:val="center" w:pos="4252"/>
        <w:tab w:val="right" w:pos="8504"/>
      </w:tabs>
      <w:snapToGrid w:val="0"/>
    </w:pPr>
  </w:style>
  <w:style w:type="character" w:customStyle="1" w:styleId="a6">
    <w:name w:val="フッター (文字)"/>
    <w:basedOn w:val="a0"/>
    <w:link w:val="a5"/>
    <w:uiPriority w:val="99"/>
    <w:rsid w:val="00C24EAA"/>
  </w:style>
  <w:style w:type="paragraph" w:styleId="a7">
    <w:name w:val="List Paragraph"/>
    <w:basedOn w:val="a"/>
    <w:uiPriority w:val="34"/>
    <w:qFormat/>
    <w:rsid w:val="00BD32E4"/>
    <w:pPr>
      <w:ind w:leftChars="400" w:left="840"/>
    </w:pPr>
  </w:style>
  <w:style w:type="paragraph" w:styleId="Web">
    <w:name w:val="Normal (Web)"/>
    <w:basedOn w:val="a"/>
    <w:uiPriority w:val="99"/>
    <w:semiHidden/>
    <w:unhideWhenUsed/>
    <w:rsid w:val="0044071A"/>
    <w:pPr>
      <w:spacing w:before="100" w:beforeAutospacing="1" w:after="100" w:afterAutospacing="1" w:line="240" w:lineRule="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46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1A402-D1BF-4AD9-AEBE-73F4B7EB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Forcus</Template>
  <TotalTime>0</TotalTime>
  <Pages>1</Pages>
  <Words>0</Words>
  <Characters>0</Characters>
  <Application>Microsoft Office Word</Application>
  <DocSecurity>0</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久保田完</dc:creator>
  <cp:keywords/>
  <dc:description/>
  <cp:lastModifiedBy>坂本 悠</cp:lastModifiedBy>
  <cp:revision>2</cp:revision>
  <cp:lastPrinted>2024-02-21T04:46:00Z</cp:lastPrinted>
  <dcterms:created xsi:type="dcterms:W3CDTF">2026-02-13T07:44:00Z</dcterms:created>
  <dcterms:modified xsi:type="dcterms:W3CDTF">2026-02-13T07:44:00Z</dcterms:modified>
</cp:coreProperties>
</file>