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after="80"/>
        <w:jc w:val="center"/>
      </w:pPr>
      <w:r>
        <w:rPr>
          <w:rFonts w:ascii="游ゴシック" w:hAnsi="游ゴシック"/>
          <w:b/>
          <w:sz w:val="32"/>
        </w:rPr>
        <w:t>推奨銘柄（米国株式）</w:t>
      </w:r>
    </w:p>
    <w:p>
      <w:pPr>
        <w:spacing w:after="0"/>
        <w:jc w:val="right"/>
      </w:pPr>
      <w:r>
        <w:rPr>
          <w:rFonts w:ascii="游ゴシック" w:hAnsi="游ゴシック"/>
          <w:b w:val="0"/>
          <w:sz w:val="22"/>
        </w:rPr>
        <w:t>2026年7月6日</w:t>
      </w:r>
    </w:p>
    <w:p>
      <w:pPr>
        <w:spacing w:after="80"/>
      </w:pPr>
      <w:r>
        <w:rPr>
          <w:rFonts w:ascii="游ゴシック" w:hAnsi="游ゴシック"/>
          <w:b w:val="0"/>
          <w:sz w:val="20"/>
        </w:rPr>
      </w:r>
    </w:p>
    <w:p>
      <w:pPr>
        <w:spacing w:after="80"/>
      </w:pPr>
      <w:r>
        <w:rPr>
          <w:rFonts w:ascii="游ゴシック" w:hAnsi="游ゴシック"/>
          <w:b w:val="0"/>
          <w:sz w:val="20"/>
        </w:rPr>
        <w:t>以下6つの観点から総合的に精査し、10銘柄を選定。</w:t>
      </w:r>
    </w:p>
    <w:p>
      <w:r>
        <w:rPr>
          <w:rFonts w:ascii="游ゴシック" w:hAnsi="游ゴシック"/>
          <w:sz w:val="20"/>
        </w:rPr>
        <w:t>・今期以降、業績の持続的な成長が見込まれる</w:t>
      </w:r>
    </w:p>
    <w:p>
      <w:r>
        <w:rPr>
          <w:rFonts w:ascii="游ゴシック" w:hAnsi="游ゴシック"/>
          <w:sz w:val="20"/>
        </w:rPr>
        <w:t>・高い収益性を有している（特にROE、ROAを重視）</w:t>
      </w:r>
    </w:p>
    <w:p>
      <w:r>
        <w:rPr>
          <w:rFonts w:ascii="游ゴシック" w:hAnsi="游ゴシック"/>
          <w:sz w:val="20"/>
        </w:rPr>
        <w:t>・競争優位性が強固であり、同業他社の追随を許さないポジションを確立している</w:t>
      </w:r>
    </w:p>
    <w:p>
      <w:r>
        <w:rPr>
          <w:rFonts w:ascii="游ゴシック" w:hAnsi="游ゴシック"/>
          <w:sz w:val="20"/>
        </w:rPr>
        <w:t>・長期的な成長余地を裏付ける、明確かつ魅力的なエクイティ・ストーリーを有している</w:t>
      </w:r>
    </w:p>
    <w:p>
      <w:r>
        <w:rPr>
          <w:rFonts w:ascii="游ゴシック" w:hAnsi="游ゴシック"/>
          <w:sz w:val="20"/>
        </w:rPr>
        <w:t>・バリュエーション面での妙味が認められる（主にPERおよび株価推移を踏まえて判断）</w:t>
      </w:r>
    </w:p>
    <w:p>
      <w:r>
        <w:rPr>
          <w:rFonts w:ascii="游ゴシック" w:hAnsi="游ゴシック"/>
          <w:sz w:val="20"/>
        </w:rPr>
        <w:t>・銘柄全体として、業種および時価総額規模の分散が適切に確保されている</w:t>
      </w:r>
    </w:p>
    <w:p>
      <w:pPr>
        <w:spacing w:after="80"/>
      </w:pPr>
      <w:r>
        <w:rPr>
          <w:rFonts w:ascii="游ゴシック" w:hAnsi="游ゴシック"/>
          <w:b w:val="0"/>
          <w:sz w:val="20"/>
        </w:rPr>
      </w:r>
    </w:p>
    <w:p>
      <w:pPr>
        <w:spacing w:after="80"/>
      </w:pPr>
      <w:r>
        <w:rPr>
          <w:rFonts w:ascii="游ゴシック" w:hAnsi="游ゴシック"/>
          <w:b/>
          <w:sz w:val="24"/>
        </w:rPr>
        <w:t>選定銘柄</w:t>
      </w:r>
    </w:p>
    <w:p>
      <w:r>
        <w:rPr>
          <w:rFonts w:ascii="游ゴシック" w:hAnsi="游ゴシック"/>
          <w:b/>
          <w:sz w:val="20"/>
        </w:rPr>
        <w:t>① アマゾン・ドットコム（AMZN）</w:t>
      </w:r>
    </w:p>
    <w:p>
      <w:r>
        <w:rPr>
          <w:rFonts w:ascii="游ゴシック" w:hAnsi="游ゴシック"/>
          <w:b/>
          <w:sz w:val="20"/>
        </w:rPr>
        <w:t>② ブロードコム（AVGO）</w:t>
      </w:r>
    </w:p>
    <w:p>
      <w:r>
        <w:rPr>
          <w:rFonts w:ascii="游ゴシック" w:hAnsi="游ゴシック"/>
          <w:b/>
          <w:sz w:val="20"/>
        </w:rPr>
        <w:t>③ ジョンソン・エンド・ジョンソン（JNJ）</w:t>
      </w:r>
    </w:p>
    <w:p>
      <w:r>
        <w:rPr>
          <w:rFonts w:ascii="游ゴシック" w:hAnsi="游ゴシック"/>
          <w:b/>
          <w:sz w:val="20"/>
        </w:rPr>
        <w:t>④ マスターカード（MA）</w:t>
      </w:r>
    </w:p>
    <w:p>
      <w:r>
        <w:rPr>
          <w:rFonts w:ascii="游ゴシック" w:hAnsi="游ゴシック"/>
          <w:b/>
          <w:sz w:val="20"/>
        </w:rPr>
        <w:t>⑤ マーベル・テクノロジー（MRVL）</w:t>
      </w:r>
    </w:p>
    <w:p>
      <w:r>
        <w:rPr>
          <w:rFonts w:ascii="游ゴシック" w:hAnsi="游ゴシック"/>
          <w:b/>
          <w:sz w:val="20"/>
        </w:rPr>
        <w:t>⑥ フェデックス（FDX）</w:t>
      </w:r>
    </w:p>
    <w:p>
      <w:r>
        <w:rPr>
          <w:rFonts w:ascii="游ゴシック" w:hAnsi="游ゴシック"/>
          <w:b/>
          <w:sz w:val="20"/>
        </w:rPr>
        <w:t>⑦ モノリシック・パワー・システムズ（MPWR）</w:t>
      </w:r>
    </w:p>
    <w:p>
      <w:r>
        <w:rPr>
          <w:rFonts w:ascii="游ゴシック" w:hAnsi="游ゴシック"/>
          <w:b/>
          <w:sz w:val="20"/>
        </w:rPr>
        <w:t>⑧ シエナ（CIEN）</w:t>
      </w:r>
    </w:p>
    <w:p>
      <w:r>
        <w:rPr>
          <w:rFonts w:ascii="游ゴシック" w:hAnsi="游ゴシック"/>
          <w:b/>
          <w:sz w:val="20"/>
        </w:rPr>
        <w:t>⑨ クレド・テクノロジー（CRDO）</w:t>
      </w:r>
    </w:p>
    <w:p>
      <w:r>
        <w:rPr>
          <w:rFonts w:ascii="游ゴシック" w:hAnsi="游ゴシック"/>
          <w:b/>
          <w:sz w:val="20"/>
        </w:rPr>
        <w:t>⑩ オートデスク（ADSK）</w:t>
      </w:r>
    </w:p>
    <w:p>
      <w:r>
        <w:br w:type="page"/>
      </w:r>
    </w:p>
    <w:p>
      <w:pPr>
        <w:spacing w:after="80"/>
      </w:pPr>
      <w:r>
        <w:rPr>
          <w:rFonts w:ascii="游ゴシック" w:hAnsi="游ゴシック"/>
          <w:b/>
          <w:sz w:val="24"/>
        </w:rPr>
        <w:t>① アマゾン・ドットコム（AMZN）</w:t>
      </w:r>
    </w:p>
    <w:p>
      <w:pPr>
        <w:spacing w:after="40"/>
      </w:pPr>
      <w:r>
        <w:rPr>
          <w:rFonts w:ascii="游ゴシック" w:hAnsi="游ゴシック"/>
          <w:sz w:val="20"/>
        </w:rPr>
        <w:t>・北米・インターナショナル・AWSの3セグメント体制による多角的な収益基盤と、世界最大級のEC流通網に支えられた圧倒的な事業スケール。プライム会員を軸としたサブスクリプション、広告、物流網の相乗効果による強固な参入障壁。2025年時点でROE23.34%、ROA9.91%と資本効率の高さも際立つ水準。</w:t>
      </w:r>
    </w:p>
    <w:p>
      <w:pPr>
        <w:spacing w:after="40"/>
      </w:pPr>
      <w:r>
        <w:rPr>
          <w:rFonts w:ascii="游ゴシック" w:hAnsi="游ゴシック"/>
          <w:sz w:val="20"/>
        </w:rPr>
        <w:t>・成長ドライバーの中核はクラウド事業AWSであり、生成AI需要の拡大を背景とした企業のデジタル投資の恩恵を享受する構造。高採算のAWSと拡大するデジタル広告事業が全社利益率を押し上げ、2025年時点の純利益率は12.22%と小売主体企業として良好な収益性。北米EC市場の成熟後も国際展開とクラウドによる成長余地の大きさ。</w:t>
      </w:r>
    </w:p>
    <w:p>
      <w:pPr>
        <w:spacing w:after="40"/>
      </w:pPr>
      <w:r>
        <w:rPr>
          <w:rFonts w:ascii="游ゴシック" w:hAnsi="游ゴシック"/>
          <w:sz w:val="20"/>
        </w:rPr>
        <w:t>・バリュエーション面では予想PER24.51倍（Non-GAAPベース）と、大型テック銘柄として過度な割高感は限定的な水準。AWSの高成長と全社的な利益率改善を織り込めば、時価総額2,610億ドルに対する妥当性を有する評価。利益成長を伴うマルチプル正当化が中期的な株価上昇の鍵。</w:t>
      </w:r>
    </w:p>
    <w:p>
      <w:pPr>
        <w:spacing w:after="40"/>
      </w:pPr>
      <w:r>
        <w:rPr>
          <w:rFonts w:ascii="游ゴシック" w:hAnsi="游ゴシック"/>
          <w:sz w:val="20"/>
        </w:rPr>
        <w:t>・リスク要因としては、AWSにおけるマイクロソフトやグーグルとのクラウド競争激化、および設備投資拡大に伴うフリーキャッシュフローの変動。加えて景気循環に敏感な消費関連セクター（Consumer Cyclical）特有の需要変動リスク。ただし多角化された収益構造による下振れ耐性の高さ。</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2,610億＄</w:t>
            </w:r>
          </w:p>
        </w:tc>
        <w:tc>
          <w:tcPr>
            <w:tcW w:type="dxa" w:w="2126"/>
            <w:vAlign w:val="center"/>
          </w:tcPr>
          <w:p>
            <w:pPr>
              <w:spacing w:before="0" w:after="0"/>
              <w:jc w:val="center"/>
            </w:pPr>
            <w:r>
              <w:rPr>
                <w:rFonts w:ascii="游ゴシック" w:hAnsi="游ゴシック"/>
                <w:sz w:val="18"/>
              </w:rPr>
              <w:t>ROE: 23.34%</w:t>
            </w:r>
          </w:p>
        </w:tc>
        <w:tc>
          <w:tcPr>
            <w:tcW w:type="dxa" w:w="2126"/>
            <w:vAlign w:val="center"/>
          </w:tcPr>
          <w:p>
            <w:pPr>
              <w:spacing w:before="0" w:after="0"/>
              <w:jc w:val="center"/>
            </w:pPr>
            <w:r>
              <w:rPr>
                <w:rFonts w:ascii="游ゴシック" w:hAnsi="游ゴシック"/>
                <w:sz w:val="18"/>
              </w:rPr>
              <w:t>ROA: 9.91%</w:t>
            </w:r>
          </w:p>
        </w:tc>
        <w:tc>
          <w:tcPr>
            <w:tcW w:type="dxa" w:w="2126"/>
            <w:vAlign w:val="center"/>
          </w:tcPr>
          <w:p>
            <w:pPr>
              <w:spacing w:before="0" w:after="0"/>
              <w:jc w:val="center"/>
            </w:pPr>
            <w:r>
              <w:rPr>
                <w:rFonts w:ascii="游ゴシック" w:hAnsi="游ゴシック"/>
                <w:sz w:val="18"/>
              </w:rPr>
              <w:t>PER: 24.51倍</w:t>
            </w:r>
          </w:p>
        </w:tc>
      </w:tr>
    </w:tbl>
    <w:p>
      <w:pPr>
        <w:jc w:val="center"/>
      </w:pPr>
      <w:r>
        <w:drawing>
          <wp:inline xmlns:a="http://schemas.openxmlformats.org/drawingml/2006/main" xmlns:pic="http://schemas.openxmlformats.org/drawingml/2006/picture">
            <wp:extent cx="5486400" cy="2805388"/>
            <wp:docPr id="1" name="Picture 1"/>
            <wp:cNvGraphicFramePr>
              <a:graphicFrameLocks noChangeAspect="1"/>
            </wp:cNvGraphicFramePr>
            <a:graphic>
              <a:graphicData uri="http://schemas.openxmlformats.org/drawingml/2006/picture">
                <pic:pic>
                  <pic:nvPicPr>
                    <pic:cNvPr id="0" name="chart_AMZN.png"/>
                    <pic:cNvPicPr/>
                  </pic:nvPicPr>
                  <pic:blipFill>
                    <a:blip r:embed="rId12"/>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② ブロードコム（AVGO）</w:t>
      </w:r>
    </w:p>
    <w:p>
      <w:pPr>
        <w:spacing w:after="40"/>
      </w:pPr>
      <w:r>
        <w:rPr>
          <w:rFonts w:ascii="游ゴシック" w:hAnsi="游ゴシック"/>
          <w:sz w:val="20"/>
        </w:rPr>
        <w:t>・半導体とインフラソフトウェアの両輪による事業ポートフォリオが強固な参入障壁を構築。Wired Infrastructure、Wireless Communications、Enterprise Storage、Industrial &amp; Otherの4部門体制による収益源の分散化。VMware統合を含むソフトウェア領域の拡大により、景気変動に強い安定収益基盤の確立。競合他社を凌駕する堅牢なビジネスモデル。</w:t>
      </w:r>
    </w:p>
    <w:p>
      <w:pPr>
        <w:spacing w:after="40"/>
      </w:pPr>
      <w:r>
        <w:rPr>
          <w:rFonts w:ascii="游ゴシック" w:hAnsi="游ゴシック"/>
          <w:sz w:val="20"/>
        </w:rPr>
        <w:t>・生成AI向けカスタムASIC（XPU）とネットワーキング半導体が中核成長ドライバー。ハイパースケーラー向けのAIアクセラレータおよびイーサネットスイッチ需要の急拡大による恩恵。データセンター投資拡大を背景としたAI関連売上の力強い伸長。中長期的なAIインフラ市場拡大に伴う継続的な成長余地。</w:t>
      </w:r>
    </w:p>
    <w:p>
      <w:pPr>
        <w:spacing w:after="40"/>
      </w:pPr>
      <w:r>
        <w:rPr>
          <w:rFonts w:ascii="游ゴシック" w:hAnsi="游ゴシック"/>
          <w:sz w:val="20"/>
        </w:rPr>
        <w:t>・2025年時点のROE36.40%、ROA16.36%、利益率38.85%と極めて高い資本効率と収益性。潤沢なフリーキャッシュフローを背景とした積極的な株主還元姿勢。同業他社を大きく上回る利益率水準による盤石な財務体質。</w:t>
      </w:r>
    </w:p>
    <w:p>
      <w:pPr>
        <w:spacing w:after="40"/>
      </w:pPr>
      <w:r>
        <w:rPr>
          <w:rFonts w:ascii="游ゴシック" w:hAnsi="游ゴシック"/>
          <w:sz w:val="20"/>
        </w:rPr>
        <w:t>・Non-GAAPベースの予想PER18.58倍は、AI半導体の高成長性を勘案すれば相対的に割安な水準。時価総額1,715億ドル規模を持つ大型優良テクノロジー銘柄としての安定感。成長性と収益性を両立した魅力的な投資妙味。</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1,715億＄</w:t>
            </w:r>
          </w:p>
        </w:tc>
        <w:tc>
          <w:tcPr>
            <w:tcW w:type="dxa" w:w="2126"/>
            <w:vAlign w:val="center"/>
          </w:tcPr>
          <w:p>
            <w:pPr>
              <w:spacing w:before="0" w:after="0"/>
              <w:jc w:val="center"/>
            </w:pPr>
            <w:r>
              <w:rPr>
                <w:rFonts w:ascii="游ゴシック" w:hAnsi="游ゴシック"/>
                <w:sz w:val="18"/>
              </w:rPr>
              <w:t>ROE: 36.40%</w:t>
            </w:r>
          </w:p>
        </w:tc>
        <w:tc>
          <w:tcPr>
            <w:tcW w:type="dxa" w:w="2126"/>
            <w:vAlign w:val="center"/>
          </w:tcPr>
          <w:p>
            <w:pPr>
              <w:spacing w:before="0" w:after="0"/>
              <w:jc w:val="center"/>
            </w:pPr>
            <w:r>
              <w:rPr>
                <w:rFonts w:ascii="游ゴシック" w:hAnsi="游ゴシック"/>
                <w:sz w:val="18"/>
              </w:rPr>
              <w:t>ROA: 16.36%</w:t>
            </w:r>
          </w:p>
        </w:tc>
        <w:tc>
          <w:tcPr>
            <w:tcW w:type="dxa" w:w="2126"/>
            <w:vAlign w:val="center"/>
          </w:tcPr>
          <w:p>
            <w:pPr>
              <w:spacing w:before="0" w:after="0"/>
              <w:jc w:val="center"/>
            </w:pPr>
            <w:r>
              <w:rPr>
                <w:rFonts w:ascii="游ゴシック" w:hAnsi="游ゴシック"/>
                <w:sz w:val="18"/>
              </w:rPr>
              <w:t>PER: 18.58倍</w:t>
            </w:r>
          </w:p>
        </w:tc>
      </w:tr>
    </w:tbl>
    <w:p>
      <w:pPr>
        <w:jc w:val="center"/>
      </w:pPr>
      <w:r>
        <w:drawing>
          <wp:inline xmlns:a="http://schemas.openxmlformats.org/drawingml/2006/main" xmlns:pic="http://schemas.openxmlformats.org/drawingml/2006/picture">
            <wp:extent cx="5486400" cy="2805388"/>
            <wp:docPr id="2" name="Picture 2"/>
            <wp:cNvGraphicFramePr>
              <a:graphicFrameLocks noChangeAspect="1"/>
            </wp:cNvGraphicFramePr>
            <a:graphic>
              <a:graphicData uri="http://schemas.openxmlformats.org/drawingml/2006/picture">
                <pic:pic>
                  <pic:nvPicPr>
                    <pic:cNvPr id="0" name="chart_AVGO.png"/>
                    <pic:cNvPicPr/>
                  </pic:nvPicPr>
                  <pic:blipFill>
                    <a:blip r:embed="rId13"/>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③ ジョンソン・エンド・ジョンソン（JNJ）</w:t>
      </w:r>
    </w:p>
    <w:p>
      <w:pPr>
        <w:spacing w:after="40"/>
      </w:pPr>
      <w:r>
        <w:rPr>
          <w:rFonts w:ascii="游ゴシック" w:hAnsi="游ゴシック"/>
          <w:sz w:val="20"/>
        </w:rPr>
        <w:t>・ヘルスケア業界における多角化された事業ポートフォリオが最大の競争優位性。Innovative Medicine（免疫、腫瘍、神経科学等）とMedTech（外科、整形外科、ビジョン等）の二本柱で景気変動耐性を確保。直近四半期（2025年Q3）でも二桁台の利益率を維持し、2025年通期の純利益率21.83%と業界屈指の高収益体質。安定した製品需要に支えられたディフェンシブ性</w:t>
      </w:r>
    </w:p>
    <w:p>
      <w:pPr>
        <w:spacing w:after="40"/>
      </w:pPr>
      <w:r>
        <w:rPr>
          <w:rFonts w:ascii="游ゴシック" w:hAnsi="游ゴシック"/>
          <w:sz w:val="20"/>
        </w:rPr>
        <w:t>・収益性指標の高さが同社の質の高さを裏付け。2025年時点のROEは26.26%、ROAは10.47%と資本効率は極めて良好。免疫疾患・腫瘍領域の新薬パイプラインが中長期の成長ドライバーであり、旧Stelara特許切れの影響を新製品群でカバーする戦略。MedTech分野でも心血管インターベンションや手術ロボティクスが成長余地</w:t>
      </w:r>
    </w:p>
    <w:p>
      <w:pPr>
        <w:spacing w:after="40"/>
      </w:pPr>
      <w:r>
        <w:rPr>
          <w:rFonts w:ascii="游ゴシック" w:hAnsi="游ゴシック"/>
          <w:sz w:val="20"/>
        </w:rPr>
        <w:t>・バリュエーション面では予想PER20.68倍（Non-GAAPベース）と、大型ヘルスケア株として妥当な水準。約633億ドルの時価総額に対し安定したキャッシュフロー創出力を背景に、連続増配を続ける代表的な配当貴族としての魅力。ディフェンシブ性と株主還元を両立した中核保有候補</w:t>
      </w:r>
    </w:p>
    <w:p>
      <w:pPr>
        <w:spacing w:after="40"/>
      </w:pPr>
      <w:r>
        <w:rPr>
          <w:rFonts w:ascii="游ゴシック" w:hAnsi="游ゴシック"/>
          <w:sz w:val="20"/>
        </w:rPr>
        <w:t>・リスク要因としてはタルク訴訟に関連する法的コストや、主力薬の特許切れによる収益圧力。ただし多角化された事業構造と潤沢な財務基盤により、個別リスクの吸収余地は相応に大きい見通し。中長期での安定成長を志向する投資家向けの妥当な投資対象</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633億＄</w:t>
            </w:r>
          </w:p>
        </w:tc>
        <w:tc>
          <w:tcPr>
            <w:tcW w:type="dxa" w:w="2126"/>
            <w:vAlign w:val="center"/>
          </w:tcPr>
          <w:p>
            <w:pPr>
              <w:spacing w:before="0" w:after="0"/>
              <w:jc w:val="center"/>
            </w:pPr>
            <w:r>
              <w:rPr>
                <w:rFonts w:ascii="游ゴシック" w:hAnsi="游ゴシック"/>
                <w:sz w:val="18"/>
              </w:rPr>
              <w:t>ROE: 26.26%</w:t>
            </w:r>
          </w:p>
        </w:tc>
        <w:tc>
          <w:tcPr>
            <w:tcW w:type="dxa" w:w="2126"/>
            <w:vAlign w:val="center"/>
          </w:tcPr>
          <w:p>
            <w:pPr>
              <w:spacing w:before="0" w:after="0"/>
              <w:jc w:val="center"/>
            </w:pPr>
            <w:r>
              <w:rPr>
                <w:rFonts w:ascii="游ゴシック" w:hAnsi="游ゴシック"/>
                <w:sz w:val="18"/>
              </w:rPr>
              <w:t>ROA: 10.47%</w:t>
            </w:r>
          </w:p>
        </w:tc>
        <w:tc>
          <w:tcPr>
            <w:tcW w:type="dxa" w:w="2126"/>
            <w:vAlign w:val="center"/>
          </w:tcPr>
          <w:p>
            <w:pPr>
              <w:spacing w:before="0" w:after="0"/>
              <w:jc w:val="center"/>
            </w:pPr>
            <w:r>
              <w:rPr>
                <w:rFonts w:ascii="游ゴシック" w:hAnsi="游ゴシック"/>
                <w:sz w:val="18"/>
              </w:rPr>
              <w:t>PER: 20.68倍</w:t>
            </w:r>
          </w:p>
        </w:tc>
      </w:tr>
    </w:tbl>
    <w:p>
      <w:pPr>
        <w:jc w:val="center"/>
      </w:pPr>
      <w:r>
        <w:drawing>
          <wp:inline xmlns:a="http://schemas.openxmlformats.org/drawingml/2006/main" xmlns:pic="http://schemas.openxmlformats.org/drawingml/2006/picture">
            <wp:extent cx="5486400" cy="2805388"/>
            <wp:docPr id="3" name="Picture 3"/>
            <wp:cNvGraphicFramePr>
              <a:graphicFrameLocks noChangeAspect="1"/>
            </wp:cNvGraphicFramePr>
            <a:graphic>
              <a:graphicData uri="http://schemas.openxmlformats.org/drawingml/2006/picture">
                <pic:pic>
                  <pic:nvPicPr>
                    <pic:cNvPr id="0" name="chart_JNJ.png"/>
                    <pic:cNvPicPr/>
                  </pic:nvPicPr>
                  <pic:blipFill>
                    <a:blip r:embed="rId14"/>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④ マスターカード（MA）</w:t>
      </w:r>
    </w:p>
    <w:p>
      <w:pPr>
        <w:spacing w:after="40"/>
      </w:pPr>
      <w:r>
        <w:rPr>
          <w:rFonts w:ascii="游ゴシック" w:hAnsi="游ゴシック"/>
          <w:sz w:val="20"/>
        </w:rPr>
        <w:t>・世界2大決済ネットワークの一角として、Visaと並ぶ強固な寡占的地位を確立。オーソリゼーション・クリアリング・セトルメントを一貫して担う決済プラットフォームと、世界200カ国超に張り巡らされた加盟店・発行体ネットワークが参入障壁。取引量増大に応じて限界費用が逓減するスケールメリットと、45.88%という極めて高い利益率が競争優位性の裏付け。</w:t>
      </w:r>
    </w:p>
    <w:p>
      <w:pPr>
        <w:spacing w:after="40"/>
      </w:pPr>
      <w:r>
        <w:rPr>
          <w:rFonts w:ascii="游ゴシック" w:hAnsi="游ゴシック"/>
          <w:sz w:val="20"/>
        </w:rPr>
        <w:t>・成長ドライバーは現金決済からデジタル決済への構造的シフトと、越境決済・付加価値サービスの拡大。B2B決済やデータ分析、サイバーセキュリティ等のバリューアデッドサービスが新たな収益の柱。世界の決済取引額が長期的に拡大するなか、成長余地は依然として大きい局面。</w:t>
      </w:r>
    </w:p>
    <w:p>
      <w:pPr>
        <w:spacing w:after="40"/>
      </w:pPr>
      <w:r>
        <w:rPr>
          <w:rFonts w:ascii="游ゴシック" w:hAnsi="游ゴシック"/>
          <w:sz w:val="20"/>
        </w:rPr>
        <w:t>・2025年時点のROE206.12%、ROA29.69%と資本効率は業界随一の水準。積極的な自社株買いによる資本還元がROE押し上げに寄与する一方、本業の高収益性が持続的な株主価値創出の源泉。景気変動に左右されにくい手数料ビジネスモデルによる安定的なキャッシュフロー創出力。</w:t>
      </w:r>
    </w:p>
    <w:p>
      <w:pPr>
        <w:spacing w:after="40"/>
      </w:pPr>
      <w:r>
        <w:rPr>
          <w:rFonts w:ascii="游ゴシック" w:hAnsi="游ゴシック"/>
          <w:sz w:val="20"/>
        </w:rPr>
        <w:t>・バリュエーションはNon-GAAPベースの予想PER23.67倍と、決済セクターの高成長・高収益性を勘案すれば妥当な水準。プレミアム評価ながら、二桁の売上・利益成長が継続する限り正当化される株価。長期保有に適したクオリティ・グロース銘柄としての魅力。</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477億＄</w:t>
            </w:r>
          </w:p>
        </w:tc>
        <w:tc>
          <w:tcPr>
            <w:tcW w:type="dxa" w:w="2126"/>
            <w:vAlign w:val="center"/>
          </w:tcPr>
          <w:p>
            <w:pPr>
              <w:spacing w:before="0" w:after="0"/>
              <w:jc w:val="center"/>
            </w:pPr>
            <w:r>
              <w:rPr>
                <w:rFonts w:ascii="游ゴシック" w:hAnsi="游ゴシック"/>
                <w:sz w:val="18"/>
              </w:rPr>
              <w:t>ROE: 206.12%</w:t>
            </w:r>
          </w:p>
        </w:tc>
        <w:tc>
          <w:tcPr>
            <w:tcW w:type="dxa" w:w="2126"/>
            <w:vAlign w:val="center"/>
          </w:tcPr>
          <w:p>
            <w:pPr>
              <w:spacing w:before="0" w:after="0"/>
              <w:jc w:val="center"/>
            </w:pPr>
            <w:r>
              <w:rPr>
                <w:rFonts w:ascii="游ゴシック" w:hAnsi="游ゴシック"/>
                <w:sz w:val="18"/>
              </w:rPr>
              <w:t>ROA: 29.69%</w:t>
            </w:r>
          </w:p>
        </w:tc>
        <w:tc>
          <w:tcPr>
            <w:tcW w:type="dxa" w:w="2126"/>
            <w:vAlign w:val="center"/>
          </w:tcPr>
          <w:p>
            <w:pPr>
              <w:spacing w:before="0" w:after="0"/>
              <w:jc w:val="center"/>
            </w:pPr>
            <w:r>
              <w:rPr>
                <w:rFonts w:ascii="游ゴシック" w:hAnsi="游ゴシック"/>
                <w:sz w:val="18"/>
              </w:rPr>
              <w:t>PER: 23.67倍</w:t>
            </w:r>
          </w:p>
        </w:tc>
      </w:tr>
    </w:tbl>
    <w:p>
      <w:pPr>
        <w:jc w:val="center"/>
      </w:pPr>
      <w:r>
        <w:drawing>
          <wp:inline xmlns:a="http://schemas.openxmlformats.org/drawingml/2006/main" xmlns:pic="http://schemas.openxmlformats.org/drawingml/2006/picture">
            <wp:extent cx="5486400" cy="2805388"/>
            <wp:docPr id="4" name="Picture 4"/>
            <wp:cNvGraphicFramePr>
              <a:graphicFrameLocks noChangeAspect="1"/>
            </wp:cNvGraphicFramePr>
            <a:graphic>
              <a:graphicData uri="http://schemas.openxmlformats.org/drawingml/2006/picture">
                <pic:pic>
                  <pic:nvPicPr>
                    <pic:cNvPr id="0" name="chart_MA.png"/>
                    <pic:cNvPicPr/>
                  </pic:nvPicPr>
                  <pic:blipFill>
                    <a:blip r:embed="rId15"/>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⑤ マーベル・テクノロジー（MRVL）</w:t>
      </w:r>
    </w:p>
    <w:p>
      <w:pPr>
        <w:spacing w:after="40"/>
      </w:pPr>
      <w:r>
        <w:rPr>
          <w:rFonts w:ascii="游ゴシック" w:hAnsi="游ゴシック"/>
          <w:sz w:val="20"/>
        </w:rPr>
        <w:t>・データセンター向け半導体を中核に、AI・クラウドインフラ需要を取り込む成長ストーリー。2025会計年度（2025年2月期）通期売上高は約57億ドルと前年比マイナス圏にとどまるも、データセンター部門は生成AI向けカスタムシリコンと光通信DSPの拡大で急伸。エッジからコアまでカバーする幅広いポートフォリオが強み。</w:t>
      </w:r>
    </w:p>
    <w:p>
      <w:pPr>
        <w:spacing w:after="40"/>
      </w:pPr>
      <w:r>
        <w:rPr>
          <w:rFonts w:ascii="游ゴシック" w:hAnsi="游ゴシック"/>
          <w:sz w:val="20"/>
        </w:rPr>
        <w:t>・競争優位性は、アナログ・ミックスドシグナル・DSPを統合したSoC設計力と、ハイパースケーラー向けカスタムASICの受注基盤。2025年2月期の純利益率28.99%は事業構造改善を映す水準。イーサネットや光接続分野での高いシェアと、大手クラウド事業者との長期的な協業関係が参入障壁。</w:t>
      </w:r>
    </w:p>
    <w:p>
      <w:pPr>
        <w:spacing w:after="40"/>
      </w:pPr>
      <w:r>
        <w:rPr>
          <w:rFonts w:ascii="游ゴシック" w:hAnsi="游ゴシック"/>
          <w:sz w:val="20"/>
        </w:rPr>
        <w:t>・成長ドライバーはAIアクセラレータ向けカスタムシリコンとデータセンター光ソリューションの拡大。数千億ドル規模へと拡大が見込まれるAIインフラ市場における中核サプライヤーとしての位置付け。2025年2月期のROE16.84%、ROA9.38%と収益性改善余地を残す局面。</w:t>
      </w:r>
    </w:p>
    <w:p>
      <w:pPr>
        <w:spacing w:after="40"/>
      </w:pPr>
      <w:r>
        <w:rPr>
          <w:rFonts w:ascii="游ゴシック" w:hAnsi="游ゴシック"/>
          <w:sz w:val="20"/>
        </w:rPr>
        <w:t>・バリュエーションは予想PER39.70倍（Non-GAAPベース）と半導体平均を上回る割高感。ただしAI関連売上の高成長を織り込む市場評価であり、成長持続を前提とすれば正当化余地。今後の受注動向と利益率改善の進捗が株価再評価の鍵を握る展開。</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215億＄</w:t>
            </w:r>
          </w:p>
        </w:tc>
        <w:tc>
          <w:tcPr>
            <w:tcW w:type="dxa" w:w="2126"/>
            <w:vAlign w:val="center"/>
          </w:tcPr>
          <w:p>
            <w:pPr>
              <w:spacing w:before="0" w:after="0"/>
              <w:jc w:val="center"/>
            </w:pPr>
            <w:r>
              <w:rPr>
                <w:rFonts w:ascii="游ゴシック" w:hAnsi="游ゴシック"/>
                <w:sz w:val="18"/>
              </w:rPr>
              <w:t>ROE: 16.84%</w:t>
            </w:r>
          </w:p>
        </w:tc>
        <w:tc>
          <w:tcPr>
            <w:tcW w:type="dxa" w:w="2126"/>
            <w:vAlign w:val="center"/>
          </w:tcPr>
          <w:p>
            <w:pPr>
              <w:spacing w:before="0" w:after="0"/>
              <w:jc w:val="center"/>
            </w:pPr>
            <w:r>
              <w:rPr>
                <w:rFonts w:ascii="游ゴシック" w:hAnsi="游ゴシック"/>
                <w:sz w:val="18"/>
              </w:rPr>
              <w:t>ROA: 9.38%</w:t>
            </w:r>
          </w:p>
        </w:tc>
        <w:tc>
          <w:tcPr>
            <w:tcW w:type="dxa" w:w="2126"/>
            <w:vAlign w:val="center"/>
          </w:tcPr>
          <w:p>
            <w:pPr>
              <w:spacing w:before="0" w:after="0"/>
              <w:jc w:val="center"/>
            </w:pPr>
            <w:r>
              <w:rPr>
                <w:rFonts w:ascii="游ゴシック" w:hAnsi="游ゴシック"/>
                <w:sz w:val="18"/>
              </w:rPr>
              <w:t>PER: 39.70倍</w:t>
            </w:r>
          </w:p>
        </w:tc>
      </w:tr>
    </w:tbl>
    <w:p>
      <w:pPr>
        <w:jc w:val="center"/>
      </w:pPr>
      <w:r>
        <w:drawing>
          <wp:inline xmlns:a="http://schemas.openxmlformats.org/drawingml/2006/main" xmlns:pic="http://schemas.openxmlformats.org/drawingml/2006/picture">
            <wp:extent cx="5486400" cy="2805388"/>
            <wp:docPr id="5" name="Picture 5"/>
            <wp:cNvGraphicFramePr>
              <a:graphicFrameLocks noChangeAspect="1"/>
            </wp:cNvGraphicFramePr>
            <a:graphic>
              <a:graphicData uri="http://schemas.openxmlformats.org/drawingml/2006/picture">
                <pic:pic>
                  <pic:nvPicPr>
                    <pic:cNvPr id="0" name="chart_MRVL.png"/>
                    <pic:cNvPicPr/>
                  </pic:nvPicPr>
                  <pic:blipFill>
                    <a:blip r:embed="rId16"/>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⑥ フェデックス（FDX）</w:t>
      </w:r>
    </w:p>
    <w:p>
      <w:pPr>
        <w:spacing w:after="40"/>
      </w:pPr>
      <w:r>
        <w:rPr>
          <w:rFonts w:ascii="游ゴシック" w:hAnsi="游ゴシック"/>
          <w:sz w:val="20"/>
        </w:rPr>
        <w:t>・グローバル物流大手として、FedEx Express、Ground、Freightの各セグメントを軸に世界220以上の国・地域をカバーする広範な配送ネットワーク。参入障壁の高い輸送インフラと航空機・車両保有による規模の経済が、UPSやDHLと並ぶ寡占的な競争優位性の源泉。直近のROEは15.11%と資本効率は堅調な水準。</w:t>
      </w:r>
    </w:p>
    <w:p>
      <w:pPr>
        <w:spacing w:after="40"/>
      </w:pPr>
      <w:r>
        <w:rPr>
          <w:rFonts w:ascii="游ゴシック" w:hAnsi="游ゴシック"/>
          <w:sz w:val="20"/>
        </w:rPr>
        <w:t>・eコマース拡大と越境物流需要が中長期の成長ドライバー。加えて、DRIVE計画による構造的コスト削減とネットワーク統合が利益率改善の鍵で、直近の純利益率は4.68%と改善余地の大きい水準。景気減速下でも高付加価値のタイムセンシティブ配送領域が収益基盤の下支え。</w:t>
      </w:r>
    </w:p>
    <w:p>
      <w:pPr>
        <w:spacing w:after="40"/>
      </w:pPr>
      <w:r>
        <w:rPr>
          <w:rFonts w:ascii="游ゴシック" w:hAnsi="游ゴシック"/>
          <w:sz w:val="20"/>
        </w:rPr>
        <w:t>・バリュエーション面では予想PER15.16倍（Non-GAAPベース）と、S&amp;P500平均を下回る割安圏での取引。ROA4.48%と資産効率には改善の余地が残るものの、コスト削減効果の顕在化とともに株主還元強化への期待。景気敏感株ゆえのマクロ変動リスクは留意点。</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75億＄</w:t>
            </w:r>
          </w:p>
        </w:tc>
        <w:tc>
          <w:tcPr>
            <w:tcW w:type="dxa" w:w="2126"/>
            <w:vAlign w:val="center"/>
          </w:tcPr>
          <w:p>
            <w:pPr>
              <w:spacing w:before="0" w:after="0"/>
              <w:jc w:val="center"/>
            </w:pPr>
            <w:r>
              <w:rPr>
                <w:rFonts w:ascii="游ゴシック" w:hAnsi="游ゴシック"/>
                <w:sz w:val="18"/>
              </w:rPr>
              <w:t>ROE: 15.11%</w:t>
            </w:r>
          </w:p>
        </w:tc>
        <w:tc>
          <w:tcPr>
            <w:tcW w:type="dxa" w:w="2126"/>
            <w:vAlign w:val="center"/>
          </w:tcPr>
          <w:p>
            <w:pPr>
              <w:spacing w:before="0" w:after="0"/>
              <w:jc w:val="center"/>
            </w:pPr>
            <w:r>
              <w:rPr>
                <w:rFonts w:ascii="游ゴシック" w:hAnsi="游ゴシック"/>
                <w:sz w:val="18"/>
              </w:rPr>
              <w:t>ROA: 4.48%</w:t>
            </w:r>
          </w:p>
        </w:tc>
        <w:tc>
          <w:tcPr>
            <w:tcW w:type="dxa" w:w="2126"/>
            <w:vAlign w:val="center"/>
          </w:tcPr>
          <w:p>
            <w:pPr>
              <w:spacing w:before="0" w:after="0"/>
              <w:jc w:val="center"/>
            </w:pPr>
            <w:r>
              <w:rPr>
                <w:rFonts w:ascii="游ゴシック" w:hAnsi="游ゴシック"/>
                <w:sz w:val="18"/>
              </w:rPr>
              <w:t>PER: 15.16倍</w:t>
            </w:r>
          </w:p>
        </w:tc>
      </w:tr>
    </w:tbl>
    <w:p>
      <w:pPr>
        <w:jc w:val="center"/>
      </w:pPr>
      <w:r>
        <w:drawing>
          <wp:inline xmlns:a="http://schemas.openxmlformats.org/drawingml/2006/main" xmlns:pic="http://schemas.openxmlformats.org/drawingml/2006/picture">
            <wp:extent cx="5486400" cy="2805388"/>
            <wp:docPr id="6" name="Picture 6"/>
            <wp:cNvGraphicFramePr>
              <a:graphicFrameLocks noChangeAspect="1"/>
            </wp:cNvGraphicFramePr>
            <a:graphic>
              <a:graphicData uri="http://schemas.openxmlformats.org/drawingml/2006/picture">
                <pic:pic>
                  <pic:nvPicPr>
                    <pic:cNvPr id="0" name="chart_FDX.png"/>
                    <pic:cNvPicPr/>
                  </pic:nvPicPr>
                  <pic:blipFill>
                    <a:blip r:embed="rId17"/>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⑦ モノリシック・パワー・システムズ（MPWR）</w:t>
      </w:r>
    </w:p>
    <w:p>
      <w:pPr>
        <w:spacing w:after="40"/>
      </w:pPr>
      <w:r>
        <w:rPr>
          <w:rFonts w:ascii="游ゴシック" w:hAnsi="游ゴシック"/>
          <w:sz w:val="20"/>
        </w:rPr>
        <w:t>・電源管理向けDC-DCコンバータICを中核とするファブレス半導体企業、モノリシック・パワー・システムズ。IT、データストレージ、自動車、産業機器、通信、家電と幅広い最終市場をカバーする分散型のビジネスモデル。高集積かつ高効率のアナログ・パワーソリューションによる独自の競争優位性。直近の利益率22.84%と収益性の高さ。</w:t>
      </w:r>
    </w:p>
    <w:p>
      <w:pPr>
        <w:spacing w:after="40"/>
      </w:pPr>
      <w:r>
        <w:rPr>
          <w:rFonts w:ascii="游ゴシック" w:hAnsi="游ゴシック"/>
          <w:sz w:val="20"/>
        </w:rPr>
        <w:t>・AIデータセンター向け電源ソリューションが最大の成長ドライバー。GPUサーバーの電力密度上昇に伴う高効率電源管理ICへの需要拡大。加えて車載向けADASや電動化領域での採用拡大。複数の高成長市場を跨ぐ多角的な収益基盤による中長期の成長余地。</w:t>
      </w:r>
    </w:p>
    <w:p>
      <w:pPr>
        <w:spacing w:after="40"/>
      </w:pPr>
      <w:r>
        <w:rPr>
          <w:rFonts w:ascii="游ゴシック" w:hAnsi="游ゴシック"/>
          <w:sz w:val="20"/>
        </w:rPr>
        <w:t>・2025年時点のROE19.05%、ROA15.18%と資産効率および株主資本効率の両面で良好な水準。ファブレスモデルによる低い設備投資負担と高いフリーキャッシュフロー創出力。無借金に近い健全な財務体質を背景とした配当と自社株買いの継続余地。</w:t>
      </w:r>
    </w:p>
    <w:p>
      <w:pPr>
        <w:spacing w:after="40"/>
      </w:pPr>
      <w:r>
        <w:rPr>
          <w:rFonts w:ascii="游ゴシック" w:hAnsi="游ゴシック"/>
          <w:sz w:val="20"/>
        </w:rPr>
        <w:t>・予想PER42.47倍（Non-GAAPベース）とセクター平均を上回るプレミアム評価。AI関連需要への高い期待を織り込んだバリュエーション水準。今後の成長持続が株価正当化の前提となる一方、需要鈍化局面での調整リスクへの留意。</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63億＄</w:t>
            </w:r>
          </w:p>
        </w:tc>
        <w:tc>
          <w:tcPr>
            <w:tcW w:type="dxa" w:w="2126"/>
            <w:vAlign w:val="center"/>
          </w:tcPr>
          <w:p>
            <w:pPr>
              <w:spacing w:before="0" w:after="0"/>
              <w:jc w:val="center"/>
            </w:pPr>
            <w:r>
              <w:rPr>
                <w:rFonts w:ascii="游ゴシック" w:hAnsi="游ゴシック"/>
                <w:sz w:val="18"/>
              </w:rPr>
              <w:t>ROE: 19.05%</w:t>
            </w:r>
          </w:p>
        </w:tc>
        <w:tc>
          <w:tcPr>
            <w:tcW w:type="dxa" w:w="2126"/>
            <w:vAlign w:val="center"/>
          </w:tcPr>
          <w:p>
            <w:pPr>
              <w:spacing w:before="0" w:after="0"/>
              <w:jc w:val="center"/>
            </w:pPr>
            <w:r>
              <w:rPr>
                <w:rFonts w:ascii="游ゴシック" w:hAnsi="游ゴシック"/>
                <w:sz w:val="18"/>
              </w:rPr>
              <w:t>ROA: 15.18%</w:t>
            </w:r>
          </w:p>
        </w:tc>
        <w:tc>
          <w:tcPr>
            <w:tcW w:type="dxa" w:w="2126"/>
            <w:vAlign w:val="center"/>
          </w:tcPr>
          <w:p>
            <w:pPr>
              <w:spacing w:before="0" w:after="0"/>
              <w:jc w:val="center"/>
            </w:pPr>
            <w:r>
              <w:rPr>
                <w:rFonts w:ascii="游ゴシック" w:hAnsi="游ゴシック"/>
                <w:sz w:val="18"/>
              </w:rPr>
              <w:t>PER: 42.47倍</w:t>
            </w:r>
          </w:p>
        </w:tc>
      </w:tr>
    </w:tbl>
    <w:p>
      <w:pPr>
        <w:jc w:val="center"/>
      </w:pPr>
      <w:r>
        <w:drawing>
          <wp:inline xmlns:a="http://schemas.openxmlformats.org/drawingml/2006/main" xmlns:pic="http://schemas.openxmlformats.org/drawingml/2006/picture">
            <wp:extent cx="5486400" cy="2777404"/>
            <wp:docPr id="7" name="Picture 7"/>
            <wp:cNvGraphicFramePr>
              <a:graphicFrameLocks noChangeAspect="1"/>
            </wp:cNvGraphicFramePr>
            <a:graphic>
              <a:graphicData uri="http://schemas.openxmlformats.org/drawingml/2006/picture">
                <pic:pic>
                  <pic:nvPicPr>
                    <pic:cNvPr id="0" name="chart_MPWR.png"/>
                    <pic:cNvPicPr/>
                  </pic:nvPicPr>
                  <pic:blipFill>
                    <a:blip r:embed="rId18"/>
                    <a:stretch>
                      <a:fillRect/>
                    </a:stretch>
                  </pic:blipFill>
                  <pic:spPr>
                    <a:xfrm>
                      <a:off x="0" y="0"/>
                      <a:ext cx="5486400" cy="2777404"/>
                    </a:xfrm>
                    <a:prstGeom prst="rect"/>
                  </pic:spPr>
                </pic:pic>
              </a:graphicData>
            </a:graphic>
          </wp:inline>
        </w:drawing>
      </w:r>
    </w:p>
    <w:p>
      <w:r>
        <w:br w:type="page"/>
      </w:r>
    </w:p>
    <w:p>
      <w:pPr>
        <w:spacing w:after="80"/>
      </w:pPr>
      <w:r>
        <w:rPr>
          <w:rFonts w:ascii="游ゴシック" w:hAnsi="游ゴシック"/>
          <w:b/>
          <w:sz w:val="24"/>
        </w:rPr>
        <w:t>⑧ シエナ（CIEN）</w:t>
      </w:r>
    </w:p>
    <w:p>
      <w:pPr>
        <w:spacing w:after="40"/>
      </w:pPr>
      <w:r>
        <w:rPr>
          <w:rFonts w:ascii="游ゴシック" w:hAnsi="游ゴシック"/>
          <w:sz w:val="20"/>
        </w:rPr>
        <w:t>・光ネットワーキング分野における世界有数の技術力とシェアを背景に、コヒーレント光伝送技術WaveLogicシリーズで競合をリードする差別化。通信キャリアやクラウド事業者向けに特化した垂直統合型ソリューション体制、ハードウェアからソフトウェア・専門サービスまで一気通貫の提供力。高い技術参入障壁と長期的な顧客関係が生む堅牢な競争優位性。</w:t>
      </w:r>
    </w:p>
    <w:p>
      <w:pPr>
        <w:spacing w:after="40"/>
      </w:pPr>
      <w:r>
        <w:rPr>
          <w:rFonts w:ascii="游ゴシック" w:hAnsi="游ゴシック"/>
          <w:sz w:val="20"/>
        </w:rPr>
        <w:t>・生成AI普及に伴うデータセンター間接続需要の急拡大が最大の成長ドライバー。クラウド大手による大容量光インフラ投資が加速し、800G以上の高速伝送製品への需要増大。直近のROE15.65%、ROA7.26%と資本効率の改善傾向、利益率7.87%の着実な向上余地。ソフトウェア・自動化領域の拡大による収益構成の高付加価値化。</w:t>
      </w:r>
    </w:p>
    <w:p>
      <w:pPr>
        <w:spacing w:after="40"/>
      </w:pPr>
      <w:r>
        <w:rPr>
          <w:rFonts w:ascii="游ゴシック" w:hAnsi="游ゴシック"/>
          <w:sz w:val="20"/>
        </w:rPr>
        <w:t>・予想PER43.83倍（Non-GAAPベース）は市場平均を上回る水準で、将来の増益期待を織り込んだ相応のプレミアム評価。時価総額60億ドルと中堅規模ながら、AI起因の構造的需要拡大局面での業績加速シナリオ。バリュエーション面では利益成長の実現が株価正当化の前提条件との留意点。</w:t>
      </w:r>
    </w:p>
    <w:p>
      <w:pPr>
        <w:spacing w:after="40"/>
      </w:pPr>
      <w:r>
        <w:rPr>
          <w:rFonts w:ascii="游ゴシック" w:hAnsi="游ゴシック"/>
          <w:sz w:val="20"/>
        </w:rPr>
        <w:t>・業績変動の大きい通信機器業種特有の設備投資サイクル依存というリスク要因。関税・サプライチェーン動向や大口顧客への依存度も注視ポイント。ただしAIデータセンター需要という長期構造的追い風を踏まえれば、中長期の成長ポテンシャルは依然大きい見通し。</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60億＄</w:t>
            </w:r>
          </w:p>
        </w:tc>
        <w:tc>
          <w:tcPr>
            <w:tcW w:type="dxa" w:w="2126"/>
            <w:vAlign w:val="center"/>
          </w:tcPr>
          <w:p>
            <w:pPr>
              <w:spacing w:before="0" w:after="0"/>
              <w:jc w:val="center"/>
            </w:pPr>
            <w:r>
              <w:rPr>
                <w:rFonts w:ascii="游ゴシック" w:hAnsi="游ゴシック"/>
                <w:sz w:val="18"/>
              </w:rPr>
              <w:t>ROE: 15.65%</w:t>
            </w:r>
          </w:p>
        </w:tc>
        <w:tc>
          <w:tcPr>
            <w:tcW w:type="dxa" w:w="2126"/>
            <w:vAlign w:val="center"/>
          </w:tcPr>
          <w:p>
            <w:pPr>
              <w:spacing w:before="0" w:after="0"/>
              <w:jc w:val="center"/>
            </w:pPr>
            <w:r>
              <w:rPr>
                <w:rFonts w:ascii="游ゴシック" w:hAnsi="游ゴシック"/>
                <w:sz w:val="18"/>
              </w:rPr>
              <w:t>ROA: 7.26%</w:t>
            </w:r>
          </w:p>
        </w:tc>
        <w:tc>
          <w:tcPr>
            <w:tcW w:type="dxa" w:w="2126"/>
            <w:vAlign w:val="center"/>
          </w:tcPr>
          <w:p>
            <w:pPr>
              <w:spacing w:before="0" w:after="0"/>
              <w:jc w:val="center"/>
            </w:pPr>
            <w:r>
              <w:rPr>
                <w:rFonts w:ascii="游ゴシック" w:hAnsi="游ゴシック"/>
                <w:sz w:val="18"/>
              </w:rPr>
              <w:t>PER: 43.83倍</w:t>
            </w:r>
          </w:p>
        </w:tc>
      </w:tr>
    </w:tbl>
    <w:p>
      <w:pPr>
        <w:jc w:val="center"/>
      </w:pPr>
      <w:r>
        <w:drawing>
          <wp:inline xmlns:a="http://schemas.openxmlformats.org/drawingml/2006/main" xmlns:pic="http://schemas.openxmlformats.org/drawingml/2006/picture">
            <wp:extent cx="5486400" cy="2805388"/>
            <wp:docPr id="8" name="Picture 8"/>
            <wp:cNvGraphicFramePr>
              <a:graphicFrameLocks noChangeAspect="1"/>
            </wp:cNvGraphicFramePr>
            <a:graphic>
              <a:graphicData uri="http://schemas.openxmlformats.org/drawingml/2006/picture">
                <pic:pic>
                  <pic:nvPicPr>
                    <pic:cNvPr id="0" name="chart_CIEN.png"/>
                    <pic:cNvPicPr/>
                  </pic:nvPicPr>
                  <pic:blipFill>
                    <a:blip r:embed="rId19"/>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⑨ クレド・テクノロジー（CRDO）</w:t>
      </w:r>
    </w:p>
    <w:p>
      <w:pPr>
        <w:spacing w:after="40"/>
      </w:pPr>
      <w:r>
        <w:rPr>
          <w:rFonts w:ascii="游ゴシック" w:hAnsi="游ゴシック"/>
          <w:sz w:val="20"/>
        </w:rPr>
        <w:t>・独自のSerDes（シリアライザ/デシリアライザ）技術を核に、光・電気イーサネット向け高速接続ソリューションを展開するファブレス半導体企業。特にAEC（アクティブ電気ケーブル）やIC、SerDesチップレットで差別化を図り、データセンター内の高速接続需要を取り込む独自ポジション。米国・中国・メキシコなど広範なグローバル展開による顧客基盤の拡大余地</w:t>
      </w:r>
    </w:p>
    <w:p>
      <w:pPr>
        <w:spacing w:after="40"/>
      </w:pPr>
      <w:r>
        <w:rPr>
          <w:rFonts w:ascii="游ゴシック" w:hAnsi="游ゴシック"/>
          <w:sz w:val="20"/>
        </w:rPr>
        <w:t>・生成AI普及に伴うハイパースケーラーのデータセンター投資拡大が最大の成長ドライバー。400G/800Gへの移行で高速・低消費電力の接続ソリューション需要が急増し、AECはInfiniBandや光ケーブルに対する省電力・低コストの代替として採用拡大。AIインフラ市場の構造的成長を背景に、中長期での売上加速余地</w:t>
      </w:r>
    </w:p>
    <w:p>
      <w:pPr>
        <w:spacing w:after="40"/>
      </w:pPr>
      <w:r>
        <w:rPr>
          <w:rFonts w:ascii="游ゴシック" w:hAnsi="游ゴシック"/>
          <w:sz w:val="20"/>
        </w:rPr>
        <w:t>・収益性は極めて良好で、利益率35.37%、ROE31.59%、ROA20.57%と資本効率の高さが際立つ水準。ファブレスモデルによる高マージンと大口顧客への集中的な製品供給が高収益性の源泉。時価総額45億ドルの中型銘柄として、業績拡大に伴う一段のスケールメリット享受への期待</w:t>
      </w:r>
    </w:p>
    <w:p>
      <w:pPr>
        <w:spacing w:after="40"/>
      </w:pPr>
      <w:r>
        <w:rPr>
          <w:rFonts w:ascii="游ゴシック" w:hAnsi="游ゴシック"/>
          <w:sz w:val="20"/>
        </w:rPr>
        <w:t>・予想PER（Non-GAAPベース）27.14倍は高成長半導体銘柄として妥当な範囲ながら、市場は将来の高い成長期待を織り込む水準。顧客集中リスクやデータセンター投資サイクルの変動性が下振れ要因。AI関連需要の持続性を前提とすれば、中長期での株価上昇余地を残す投資妙味</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45億＄</w:t>
            </w:r>
          </w:p>
        </w:tc>
        <w:tc>
          <w:tcPr>
            <w:tcW w:type="dxa" w:w="2126"/>
            <w:vAlign w:val="center"/>
          </w:tcPr>
          <w:p>
            <w:pPr>
              <w:spacing w:before="0" w:after="0"/>
              <w:jc w:val="center"/>
            </w:pPr>
            <w:r>
              <w:rPr>
                <w:rFonts w:ascii="游ゴシック" w:hAnsi="游ゴシック"/>
                <w:sz w:val="18"/>
              </w:rPr>
              <w:t>ROE: 31.59%</w:t>
            </w:r>
          </w:p>
        </w:tc>
        <w:tc>
          <w:tcPr>
            <w:tcW w:type="dxa" w:w="2126"/>
            <w:vAlign w:val="center"/>
          </w:tcPr>
          <w:p>
            <w:pPr>
              <w:spacing w:before="0" w:after="0"/>
              <w:jc w:val="center"/>
            </w:pPr>
            <w:r>
              <w:rPr>
                <w:rFonts w:ascii="游ゴシック" w:hAnsi="游ゴシック"/>
                <w:sz w:val="18"/>
              </w:rPr>
              <w:t>ROA: 20.57%</w:t>
            </w:r>
          </w:p>
        </w:tc>
        <w:tc>
          <w:tcPr>
            <w:tcW w:type="dxa" w:w="2126"/>
            <w:vAlign w:val="center"/>
          </w:tcPr>
          <w:p>
            <w:pPr>
              <w:spacing w:before="0" w:after="0"/>
              <w:jc w:val="center"/>
            </w:pPr>
            <w:r>
              <w:rPr>
                <w:rFonts w:ascii="游ゴシック" w:hAnsi="游ゴシック"/>
                <w:sz w:val="18"/>
              </w:rPr>
              <w:t>PER: 27.14倍</w:t>
            </w:r>
          </w:p>
        </w:tc>
      </w:tr>
    </w:tbl>
    <w:p>
      <w:pPr>
        <w:jc w:val="center"/>
      </w:pPr>
      <w:r>
        <w:drawing>
          <wp:inline xmlns:a="http://schemas.openxmlformats.org/drawingml/2006/main" xmlns:pic="http://schemas.openxmlformats.org/drawingml/2006/picture">
            <wp:extent cx="5486400" cy="2805388"/>
            <wp:docPr id="9" name="Picture 9"/>
            <wp:cNvGraphicFramePr>
              <a:graphicFrameLocks noChangeAspect="1"/>
            </wp:cNvGraphicFramePr>
            <a:graphic>
              <a:graphicData uri="http://schemas.openxmlformats.org/drawingml/2006/picture">
                <pic:pic>
                  <pic:nvPicPr>
                    <pic:cNvPr id="0" name="chart_CRDO.png"/>
                    <pic:cNvPicPr/>
                  </pic:nvPicPr>
                  <pic:blipFill>
                    <a:blip r:embed="rId20"/>
                    <a:stretch>
                      <a:fillRect/>
                    </a:stretch>
                  </pic:blipFill>
                  <pic:spPr>
                    <a:xfrm>
                      <a:off x="0" y="0"/>
                      <a:ext cx="5486400" cy="2805388"/>
                    </a:xfrm>
                    <a:prstGeom prst="rect"/>
                  </pic:spPr>
                </pic:pic>
              </a:graphicData>
            </a:graphic>
          </wp:inline>
        </w:drawing>
      </w:r>
    </w:p>
    <w:p>
      <w:r>
        <w:br w:type="page"/>
      </w:r>
    </w:p>
    <w:p>
      <w:pPr>
        <w:spacing w:after="80"/>
      </w:pPr>
      <w:r>
        <w:rPr>
          <w:rFonts w:ascii="游ゴシック" w:hAnsi="游ゴシック"/>
          <w:b/>
          <w:sz w:val="24"/>
        </w:rPr>
        <w:t>⑩ オートデスク（ADSK）</w:t>
      </w:r>
    </w:p>
    <w:p>
      <w:pPr>
        <w:spacing w:after="40"/>
      </w:pPr>
      <w:r>
        <w:rPr>
          <w:rFonts w:ascii="游ゴシック" w:hAnsi="游ゴシック"/>
          <w:sz w:val="20"/>
        </w:rPr>
        <w:t>・AutoCADやAutoCAD LTを中核とする設計ソフトウェア市場での圧倒的なブランド力と高いスイッチングコスト。建築・土木・製造・エンタメ分野で世界的な顧客基盤を保有し、業界標準としての地位を確立。サブスクリプション移行の完了により収益の予見性が向上し、直近の利益率は19.49%と安定した収益構造。競合を寄せ付けない強固な参入障壁が最大の競争優位性。</w:t>
      </w:r>
    </w:p>
    <w:p>
      <w:pPr>
        <w:spacing w:after="40"/>
      </w:pPr>
      <w:r>
        <w:rPr>
          <w:rFonts w:ascii="游ゴシック" w:hAnsi="游ゴシック"/>
          <w:sz w:val="20"/>
        </w:rPr>
        <w:t>・成長ドライバーは、BIM 360などクラウドベースの建設プロジェクト管理プラットフォームとデジタルツイン需要の拡大。世界的なインフラ投資拡大とデジタル化の進展が中長期的な追い風。AIを活用した設計自動化機能の実装が新たな付加価値創出の源泉。継続的なARR成長と顧客単価向上への期待。</w:t>
      </w:r>
    </w:p>
    <w:p>
      <w:pPr>
        <w:spacing w:after="40"/>
      </w:pPr>
      <w:r>
        <w:rPr>
          <w:rFonts w:ascii="游ゴシック" w:hAnsi="游ゴシック"/>
          <w:sz w:val="20"/>
        </w:rPr>
        <w:t>・収益性の高さが際立ち、ROEは49.42%、ROAは12.26%と資本効率は極めて優秀。サブスクリプションモデルによる高い営業キャッシュフローと安定したフリーキャッシュフロー創出力。自社株買いを通じた株主還元の余地も十分。ソフトウェア企業として傑出した資本効率性。</w:t>
      </w:r>
    </w:p>
    <w:p>
      <w:pPr>
        <w:spacing w:after="40"/>
      </w:pPr>
      <w:r>
        <w:rPr>
          <w:rFonts w:ascii="游ゴシック" w:hAnsi="游ゴシック"/>
          <w:sz w:val="20"/>
        </w:rPr>
        <w:t>・予想PER（Non-GAAPベース）は14.55倍と、SaaS大手として割安感が顕著な水準。高いROEと安定成長を勘案すれば、現状の株価には過度な悲観が織り込まれている可能性。クラウド移行完了後の利益率改善余地を踏まえると、中長期的なバリュエーション見直しの妥当性。押し目買いの投資妙味。</w:t>
      </w:r>
    </w:p>
    <w:p>
      <w:pPr>
        <w:spacing w:after="0"/>
      </w:pPr>
      <w:r>
        <w:rPr>
          <w:rFonts w:ascii="游ゴシック" w:hAnsi="游ゴシック"/>
          <w:b w:val="0"/>
          <w:sz w:val="20"/>
        </w:rPr>
      </w:r>
    </w:p>
    <w:tbl>
      <w:tblPr>
        <w:tblW w:type="auto" w:w="0"/>
        <w:tblLayout w:type="autofit"/>
        <w:tblLook w:firstColumn="1" w:firstRow="1" w:lastColumn="0" w:lastRow="0" w:noHBand="0" w:noVBand="1" w:val="04A0"/>
        <w:tblBorders>
          <w:top w:val="none" w:sz="0" w:space="0" w:color="auto"/>
          <w:left w:val="none" w:sz="0" w:space="0" w:color="auto"/>
          <w:bottom w:val="none" w:sz="0" w:space="0" w:color="auto"/>
          <w:right w:val="none" w:sz="0" w:space="0" w:color="auto"/>
          <w:insideH w:val="none" w:sz="0" w:space="0" w:color="auto"/>
          <w:insideV w:val="none" w:sz="0" w:space="0" w:color="auto"/>
        </w:tblBorders>
      </w:tblPr>
      <w:tblGrid>
        <w:gridCol w:w="2126"/>
        <w:gridCol w:w="2126"/>
        <w:gridCol w:w="2126"/>
        <w:gridCol w:w="2126"/>
      </w:tblGrid>
      <w:tr>
        <w:tc>
          <w:tcPr>
            <w:tcW w:type="dxa" w:w="2126"/>
            <w:vAlign w:val="center"/>
          </w:tcPr>
          <w:p>
            <w:pPr>
              <w:spacing w:before="0" w:after="0"/>
              <w:jc w:val="center"/>
            </w:pPr>
            <w:r>
              <w:rPr>
                <w:rFonts w:ascii="游ゴシック" w:hAnsi="游ゴシック"/>
                <w:sz w:val="18"/>
              </w:rPr>
              <w:t>時価総額: 44億＄</w:t>
            </w:r>
          </w:p>
        </w:tc>
        <w:tc>
          <w:tcPr>
            <w:tcW w:type="dxa" w:w="2126"/>
            <w:vAlign w:val="center"/>
          </w:tcPr>
          <w:p>
            <w:pPr>
              <w:spacing w:before="0" w:after="0"/>
              <w:jc w:val="center"/>
            </w:pPr>
            <w:r>
              <w:rPr>
                <w:rFonts w:ascii="游ゴシック" w:hAnsi="游ゴシック"/>
                <w:sz w:val="18"/>
              </w:rPr>
              <w:t>ROE: 49.42%</w:t>
            </w:r>
          </w:p>
        </w:tc>
        <w:tc>
          <w:tcPr>
            <w:tcW w:type="dxa" w:w="2126"/>
            <w:vAlign w:val="center"/>
          </w:tcPr>
          <w:p>
            <w:pPr>
              <w:spacing w:before="0" w:after="0"/>
              <w:jc w:val="center"/>
            </w:pPr>
            <w:r>
              <w:rPr>
                <w:rFonts w:ascii="游ゴシック" w:hAnsi="游ゴシック"/>
                <w:sz w:val="18"/>
              </w:rPr>
              <w:t>ROA: 12.26%</w:t>
            </w:r>
          </w:p>
        </w:tc>
        <w:tc>
          <w:tcPr>
            <w:tcW w:type="dxa" w:w="2126"/>
            <w:vAlign w:val="center"/>
          </w:tcPr>
          <w:p>
            <w:pPr>
              <w:spacing w:before="0" w:after="0"/>
              <w:jc w:val="center"/>
            </w:pPr>
            <w:r>
              <w:rPr>
                <w:rFonts w:ascii="游ゴシック" w:hAnsi="游ゴシック"/>
                <w:sz w:val="18"/>
              </w:rPr>
              <w:t>PER: 14.55倍</w:t>
            </w:r>
          </w:p>
        </w:tc>
      </w:tr>
    </w:tbl>
    <w:p>
      <w:pPr>
        <w:jc w:val="center"/>
      </w:pPr>
      <w:r>
        <w:drawing>
          <wp:inline xmlns:a="http://schemas.openxmlformats.org/drawingml/2006/main" xmlns:pic="http://schemas.openxmlformats.org/drawingml/2006/picture">
            <wp:extent cx="5486400" cy="2805388"/>
            <wp:docPr id="10" name="Picture 10"/>
            <wp:cNvGraphicFramePr>
              <a:graphicFrameLocks noChangeAspect="1"/>
            </wp:cNvGraphicFramePr>
            <a:graphic>
              <a:graphicData uri="http://schemas.openxmlformats.org/drawingml/2006/picture">
                <pic:pic>
                  <pic:nvPicPr>
                    <pic:cNvPr id="0" name="chart_ADSK.png"/>
                    <pic:cNvPicPr/>
                  </pic:nvPicPr>
                  <pic:blipFill>
                    <a:blip r:embed="rId21"/>
                    <a:stretch>
                      <a:fillRect/>
                    </a:stretch>
                  </pic:blipFill>
                  <pic:spPr>
                    <a:xfrm>
                      <a:off x="0" y="0"/>
                      <a:ext cx="5486400" cy="2805388"/>
                    </a:xfrm>
                    <a:prstGeom prst="rect"/>
                  </pic:spPr>
                </pic:pic>
              </a:graphicData>
            </a:graphic>
          </wp:inline>
        </w:drawing>
      </w:r>
    </w:p>
    <w:p>
      <w:pPr>
        <w:spacing w:before="0" w:after="0"/>
      </w:pPr>
      <w:r>
        <w:rPr>
          <w:sz w:val="2"/>
        </w:rPr>
        <w:br w:type="page"/>
      </w:r>
    </w:p>
    <w:p>
      <w:pPr>
        <w:spacing w:after="160"/>
        <w:jc w:val="center"/>
      </w:pPr>
      <w:r>
        <w:rPr>
          <w:rFonts w:ascii="游ゴシック" w:hAnsi="游ゴシック"/>
          <w:b/>
          <w:sz w:val="24"/>
        </w:rPr>
        <w:t>ご参考</w:t>
      </w:r>
    </w:p>
    <w:tbl>
      <w:tblPr>
        <w:tblW w:type="auto" w:w="0"/>
        <w:tblLayout w:type="fixed"/>
        <w:tblLook w:firstColumn="1" w:firstRow="1" w:lastColumn="0" w:lastRow="0" w:noHBand="0" w:noVBand="1" w:val="04A0"/>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jc w:val="center"/>
      </w:tblPr>
      <w:tblGrid>
        <w:gridCol w:w="2126"/>
        <w:gridCol w:w="2126"/>
        <w:gridCol w:w="2126"/>
        <w:gridCol w:w="2126"/>
      </w:tblGrid>
      <w:tr>
        <w:tc>
          <w:tcPr>
            <w:tcW w:type="dxa" w:w="3685"/>
            <w:vAlign w:val="center"/>
            <w:shd w:val="clear" w:color="auto" w:fill="D9E2F3"/>
          </w:tcPr>
          <w:p>
            <w:pPr>
              <w:spacing w:before="40" w:after="40"/>
              <w:jc w:val="center"/>
            </w:pPr>
            <w:r>
              <w:rPr>
                <w:rFonts w:ascii="游ゴシック" w:hAnsi="游ゴシック"/>
                <w:b/>
                <w:sz w:val="20"/>
              </w:rPr>
            </w:r>
          </w:p>
        </w:tc>
        <w:tc>
          <w:tcPr>
            <w:tcW w:type="dxa" w:w="1134"/>
            <w:vAlign w:val="center"/>
            <w:shd w:val="clear" w:color="auto" w:fill="D9E2F3"/>
          </w:tcPr>
          <w:p>
            <w:pPr>
              <w:spacing w:before="40" w:after="40"/>
              <w:jc w:val="center"/>
            </w:pPr>
            <w:r>
              <w:rPr>
                <w:rFonts w:ascii="游ゴシック" w:hAnsi="游ゴシック"/>
                <w:b/>
                <w:sz w:val="20"/>
              </w:rPr>
              <w:t>ROE</w:t>
            </w:r>
          </w:p>
        </w:tc>
        <w:tc>
          <w:tcPr>
            <w:tcW w:type="dxa" w:w="1134"/>
            <w:vAlign w:val="center"/>
            <w:shd w:val="clear" w:color="auto" w:fill="D9E2F3"/>
          </w:tcPr>
          <w:p>
            <w:pPr>
              <w:spacing w:before="40" w:after="40"/>
              <w:jc w:val="center"/>
            </w:pPr>
            <w:r>
              <w:rPr>
                <w:rFonts w:ascii="游ゴシック" w:hAnsi="游ゴシック"/>
                <w:b/>
                <w:sz w:val="20"/>
              </w:rPr>
              <w:t>ROA</w:t>
            </w:r>
          </w:p>
        </w:tc>
        <w:tc>
          <w:tcPr>
            <w:tcW w:type="dxa" w:w="1134"/>
            <w:vAlign w:val="center"/>
            <w:shd w:val="clear" w:color="auto" w:fill="D9E2F3"/>
          </w:tcPr>
          <w:p>
            <w:pPr>
              <w:spacing w:before="40" w:after="40"/>
              <w:jc w:val="center"/>
            </w:pPr>
            <w:r>
              <w:rPr>
                <w:rFonts w:ascii="游ゴシック" w:hAnsi="游ゴシック"/>
                <w:b/>
                <w:sz w:val="20"/>
              </w:rPr>
              <w:t>PER</w:t>
            </w:r>
          </w:p>
        </w:tc>
      </w:tr>
      <w:tr>
        <w:tc>
          <w:tcPr>
            <w:tcW w:type="dxa" w:w="3685"/>
            <w:vAlign w:val="center"/>
          </w:tcPr>
          <w:p>
            <w:pPr>
              <w:spacing w:before="40" w:after="40"/>
              <w:jc w:val="center"/>
            </w:pPr>
            <w:r>
              <w:rPr>
                <w:rFonts w:ascii="游ゴシック" w:hAnsi="游ゴシック"/>
                <w:b/>
                <w:sz w:val="20"/>
              </w:rPr>
              <w:t>上場企業平均（日本）</w:t>
            </w:r>
          </w:p>
        </w:tc>
        <w:tc>
          <w:tcPr>
            <w:tcW w:type="dxa" w:w="1134"/>
            <w:vAlign w:val="center"/>
          </w:tcPr>
          <w:p>
            <w:pPr>
              <w:spacing w:before="40" w:after="40"/>
              <w:jc w:val="center"/>
            </w:pPr>
            <w:r>
              <w:rPr>
                <w:rFonts w:ascii="游ゴシック" w:hAnsi="游ゴシック"/>
                <w:sz w:val="20"/>
              </w:rPr>
              <w:t>9.4%</w:t>
            </w:r>
          </w:p>
        </w:tc>
        <w:tc>
          <w:tcPr>
            <w:tcW w:type="dxa" w:w="1134"/>
            <w:vAlign w:val="center"/>
          </w:tcPr>
          <w:p>
            <w:pPr>
              <w:spacing w:before="40" w:after="40"/>
              <w:jc w:val="center"/>
            </w:pPr>
            <w:r>
              <w:rPr>
                <w:rFonts w:ascii="游ゴシック" w:hAnsi="游ゴシック"/>
                <w:sz w:val="20"/>
              </w:rPr>
              <w:t>4〜5%</w:t>
            </w:r>
          </w:p>
        </w:tc>
        <w:tc>
          <w:tcPr>
            <w:tcW w:type="dxa" w:w="1134"/>
            <w:vAlign w:val="center"/>
          </w:tcPr>
          <w:p>
            <w:pPr>
              <w:spacing w:before="40" w:after="40"/>
              <w:jc w:val="center"/>
            </w:pPr>
            <w:r>
              <w:rPr>
                <w:rFonts w:ascii="游ゴシック" w:hAnsi="游ゴシック"/>
                <w:sz w:val="20"/>
              </w:rPr>
              <w:t>18.24倍</w:t>
            </w:r>
          </w:p>
        </w:tc>
      </w:tr>
      <w:tr>
        <w:tc>
          <w:tcPr>
            <w:tcW w:type="dxa" w:w="3685"/>
            <w:vAlign w:val="center"/>
          </w:tcPr>
          <w:p>
            <w:pPr>
              <w:spacing w:before="40" w:after="40"/>
              <w:jc w:val="center"/>
            </w:pPr>
            <w:r>
              <w:rPr>
                <w:rFonts w:ascii="游ゴシック" w:hAnsi="游ゴシック"/>
                <w:b/>
                <w:sz w:val="20"/>
              </w:rPr>
              <w:t>上場企業平均（米国）</w:t>
            </w:r>
          </w:p>
        </w:tc>
        <w:tc>
          <w:tcPr>
            <w:tcW w:type="dxa" w:w="1134"/>
            <w:vAlign w:val="center"/>
          </w:tcPr>
          <w:p>
            <w:pPr>
              <w:spacing w:before="40" w:after="40"/>
              <w:jc w:val="center"/>
            </w:pPr>
            <w:r>
              <w:rPr>
                <w:rFonts w:ascii="游ゴシック" w:hAnsi="游ゴシック"/>
                <w:sz w:val="20"/>
              </w:rPr>
              <w:t>20.9%</w:t>
            </w:r>
          </w:p>
        </w:tc>
        <w:tc>
          <w:tcPr>
            <w:tcW w:type="dxa" w:w="1134"/>
            <w:vAlign w:val="center"/>
          </w:tcPr>
          <w:p>
            <w:pPr>
              <w:spacing w:before="40" w:after="40"/>
              <w:jc w:val="center"/>
            </w:pPr>
            <w:r>
              <w:rPr>
                <w:rFonts w:ascii="游ゴシック" w:hAnsi="游ゴシック"/>
                <w:sz w:val="20"/>
              </w:rPr>
              <w:t>6〜8%</w:t>
            </w:r>
          </w:p>
        </w:tc>
        <w:tc>
          <w:tcPr>
            <w:tcW w:type="dxa" w:w="1134"/>
            <w:vAlign w:val="center"/>
          </w:tcPr>
          <w:p>
            <w:pPr>
              <w:spacing w:before="40" w:after="40"/>
              <w:jc w:val="center"/>
            </w:pPr>
            <w:r>
              <w:rPr>
                <w:rFonts w:ascii="游ゴシック" w:hAnsi="游ゴシック"/>
                <w:sz w:val="20"/>
              </w:rPr>
              <w:t>24.33倍</w:t>
            </w:r>
          </w:p>
        </w:tc>
      </w:tr>
      <w:tr>
        <w:tc>
          <w:tcPr>
            <w:tcW w:type="dxa" w:w="3685"/>
            <w:vAlign w:val="center"/>
          </w:tcPr>
          <w:p>
            <w:pPr>
              <w:spacing w:before="40" w:after="40"/>
              <w:jc w:val="center"/>
            </w:pPr>
            <w:r>
              <w:rPr>
                <w:rFonts w:ascii="游ゴシック" w:hAnsi="游ゴシック"/>
                <w:b/>
                <w:sz w:val="20"/>
              </w:rPr>
              <w:t>トヨタ自動車（株）</w:t>
            </w:r>
          </w:p>
        </w:tc>
        <w:tc>
          <w:tcPr>
            <w:tcW w:type="dxa" w:w="1134"/>
            <w:vAlign w:val="center"/>
          </w:tcPr>
          <w:p>
            <w:pPr>
              <w:spacing w:before="40" w:after="40"/>
              <w:jc w:val="center"/>
            </w:pPr>
            <w:r>
              <w:rPr>
                <w:rFonts w:ascii="游ゴシック" w:hAnsi="游ゴシック"/>
                <w:sz w:val="20"/>
              </w:rPr>
              <w:t>13.59%</w:t>
            </w:r>
          </w:p>
        </w:tc>
        <w:tc>
          <w:tcPr>
            <w:tcW w:type="dxa" w:w="1134"/>
            <w:vAlign w:val="center"/>
          </w:tcPr>
          <w:p>
            <w:pPr>
              <w:spacing w:before="40" w:after="40"/>
              <w:jc w:val="center"/>
            </w:pPr>
            <w:r>
              <w:rPr>
                <w:rFonts w:ascii="游ゴシック" w:hAnsi="游ゴシック"/>
                <w:sz w:val="20"/>
              </w:rPr>
              <w:t>5.09%</w:t>
            </w:r>
          </w:p>
        </w:tc>
        <w:tc>
          <w:tcPr>
            <w:tcW w:type="dxa" w:w="1134"/>
            <w:vAlign w:val="center"/>
          </w:tcPr>
          <w:p>
            <w:pPr>
              <w:spacing w:before="40" w:after="40"/>
              <w:jc w:val="center"/>
            </w:pPr>
            <w:r>
              <w:rPr>
                <w:rFonts w:ascii="游ゴシック" w:hAnsi="游ゴシック"/>
                <w:sz w:val="20"/>
              </w:rPr>
              <w:t>12.71倍</w:t>
            </w:r>
          </w:p>
        </w:tc>
      </w:tr>
    </w:tbl>
    <w:p>
      <w:pPr>
        <w:spacing w:after="160"/>
      </w:pPr>
      <w:r>
        <w:rPr>
          <w:rFonts w:ascii="游ゴシック" w:hAnsi="游ゴシック"/>
          <w:b w:val="0"/>
          <w:sz w:val="20"/>
        </w:rPr>
      </w:r>
    </w:p>
    <w:p>
      <w:pPr>
        <w:spacing w:after="80"/>
      </w:pPr>
      <w:r>
        <w:rPr>
          <w:rFonts w:ascii="游ゴシック" w:hAnsi="游ゴシック"/>
          <w:b/>
          <w:sz w:val="20"/>
        </w:rPr>
        <w:t>マーケットデータ</w:t>
      </w:r>
    </w:p>
    <w:tbl>
      <w:tblPr>
        <w:tblW w:type="auto" w:w="0"/>
        <w:tblLayout w:type="fixed"/>
        <w:tblLook w:firstColumn="1" w:firstRow="1" w:lastColumn="0" w:lastRow="0" w:noHBand="0" w:noVBand="1" w:val="04A0"/>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jc w:val="center"/>
      </w:tblPr>
      <w:tblGrid>
        <w:gridCol w:w="2126"/>
        <w:gridCol w:w="2126"/>
        <w:gridCol w:w="2126"/>
        <w:gridCol w:w="2126"/>
      </w:tblGrid>
      <w:tr>
        <w:tc>
          <w:tcPr>
            <w:tcW w:type="dxa" w:w="2268"/>
            <w:vAlign w:val="center"/>
            <w:shd w:val="clear" w:color="auto" w:fill="D9E2F3"/>
          </w:tcPr>
          <w:p>
            <w:pPr>
              <w:spacing w:before="40" w:after="40"/>
              <w:jc w:val="center"/>
            </w:pPr>
            <w:r>
              <w:rPr>
                <w:rFonts w:ascii="游ゴシック" w:hAnsi="游ゴシック"/>
                <w:b/>
                <w:sz w:val="20"/>
              </w:rPr>
              <w:t>指標</w:t>
            </w:r>
          </w:p>
        </w:tc>
        <w:tc>
          <w:tcPr>
            <w:tcW w:type="dxa" w:w="1984"/>
            <w:vAlign w:val="center"/>
            <w:shd w:val="clear" w:color="auto" w:fill="D9E2F3"/>
          </w:tcPr>
          <w:p>
            <w:pPr>
              <w:spacing w:before="40" w:after="40"/>
              <w:jc w:val="center"/>
            </w:pPr>
            <w:r>
              <w:rPr>
                <w:rFonts w:ascii="游ゴシック" w:hAnsi="游ゴシック"/>
                <w:b/>
                <w:sz w:val="20"/>
              </w:rPr>
              <w:t>前日終値</w:t>
            </w:r>
          </w:p>
        </w:tc>
        <w:tc>
          <w:tcPr>
            <w:tcW w:type="dxa" w:w="2834"/>
            <w:gridSpan w:val="2"/>
            <w:vAlign w:val="center"/>
            <w:shd w:val="clear" w:color="auto" w:fill="D9E2F3"/>
            <w:shd w:val="clear" w:color="auto" w:fill="D9E2F3"/>
          </w:tcPr>
          <w:p>
            <w:pPr>
              <w:spacing w:before="40" w:after="40"/>
              <w:jc w:val="center"/>
            </w:pPr>
            <w:r>
              <w:rPr>
                <w:rFonts w:ascii="游ゴシック" w:hAnsi="游ゴシック"/>
                <w:b/>
                <w:sz w:val="20"/>
              </w:rPr>
              <w:t>25年末比</w:t>
            </w:r>
          </w:p>
        </w:tc>
      </w:tr>
      <w:tr>
        <w:tc>
          <w:tcPr>
            <w:tcW w:type="dxa" w:w="2268"/>
            <w:vAlign w:val="center"/>
          </w:tcPr>
          <w:p>
            <w:pPr>
              <w:spacing w:before="20" w:after="20"/>
              <w:jc w:val="center"/>
            </w:pPr>
            <w:r>
              <w:rPr>
                <w:rFonts w:ascii="游ゴシック" w:hAnsi="游ゴシック"/>
                <w:b/>
                <w:sz w:val="20"/>
              </w:rPr>
              <w:t>日経平均株価</w:t>
            </w:r>
          </w:p>
        </w:tc>
        <w:tc>
          <w:tcPr>
            <w:tcW w:type="dxa" w:w="1984"/>
            <w:vAlign w:val="center"/>
          </w:tcPr>
          <w:p>
            <w:pPr>
              <w:spacing w:before="20" w:after="20"/>
              <w:jc w:val="right"/>
            </w:pPr>
            <w:r>
              <w:rPr>
                <w:rFonts w:ascii="游ゴシック" w:hAnsi="游ゴシック"/>
                <w:sz w:val="20"/>
              </w:rPr>
              <w:t>69,737.69 円</w:t>
            </w:r>
          </w:p>
        </w:tc>
        <w:tc>
          <w:tcPr>
            <w:tcW w:type="dxa" w:w="1417"/>
            <w:vAlign w:val="center"/>
          </w:tcPr>
          <w:p>
            <w:pPr>
              <w:spacing w:before="20" w:after="20"/>
              <w:jc w:val="right"/>
            </w:pPr>
            <w:r>
              <w:rPr>
                <w:rFonts w:ascii="游ゴシック" w:hAnsi="游ゴシック"/>
                <w:sz w:val="20"/>
              </w:rPr>
              <w:t>+19,398.21</w:t>
            </w:r>
          </w:p>
        </w:tc>
        <w:tc>
          <w:tcPr>
            <w:tcW w:type="dxa" w:w="1417"/>
            <w:vAlign w:val="center"/>
          </w:tcPr>
          <w:p>
            <w:pPr>
              <w:spacing w:before="20" w:after="20"/>
              <w:jc w:val="right"/>
            </w:pPr>
            <w:r>
              <w:rPr>
                <w:rFonts w:ascii="游ゴシック" w:hAnsi="游ゴシック"/>
                <w:sz w:val="20"/>
              </w:rPr>
              <w:t>+38.53%</w:t>
            </w:r>
          </w:p>
        </w:tc>
      </w:tr>
      <w:tr>
        <w:tc>
          <w:tcPr>
            <w:tcW w:type="dxa" w:w="2268"/>
            <w:vAlign w:val="center"/>
          </w:tcPr>
          <w:p>
            <w:pPr>
              <w:spacing w:before="20" w:after="20"/>
              <w:jc w:val="center"/>
            </w:pPr>
            <w:r>
              <w:rPr>
                <w:rFonts w:ascii="游ゴシック" w:hAnsi="游ゴシック"/>
                <w:b/>
                <w:sz w:val="20"/>
              </w:rPr>
              <w:t>TOPIX</w:t>
            </w:r>
          </w:p>
        </w:tc>
        <w:tc>
          <w:tcPr>
            <w:tcW w:type="dxa" w:w="1984"/>
            <w:vAlign w:val="center"/>
          </w:tcPr>
          <w:p>
            <w:pPr>
              <w:spacing w:before="20" w:after="20"/>
              <w:jc w:val="right"/>
            </w:pPr>
            <w:r>
              <w:rPr>
                <w:rFonts w:ascii="游ゴシック" w:hAnsi="游ゴシック"/>
                <w:sz w:val="20"/>
              </w:rPr>
              <w:t>435.40 pt</w:t>
            </w:r>
          </w:p>
        </w:tc>
        <w:tc>
          <w:tcPr>
            <w:tcW w:type="dxa" w:w="1417"/>
            <w:vAlign w:val="center"/>
          </w:tcPr>
          <w:p>
            <w:pPr>
              <w:spacing w:before="20" w:after="20"/>
              <w:jc w:val="right"/>
            </w:pPr>
            <w:r>
              <w:rPr>
                <w:rFonts w:ascii="游ゴシック" w:hAnsi="游ゴシック"/>
                <w:color w:val="CC0000"/>
                <w:sz w:val="20"/>
              </w:rPr>
              <w:t>-2,973.57</w:t>
            </w:r>
          </w:p>
        </w:tc>
        <w:tc>
          <w:tcPr>
            <w:tcW w:type="dxa" w:w="1417"/>
            <w:vAlign w:val="center"/>
          </w:tcPr>
          <w:p>
            <w:pPr>
              <w:spacing w:before="20" w:after="20"/>
              <w:jc w:val="right"/>
            </w:pPr>
            <w:r>
              <w:rPr>
                <w:rFonts w:ascii="游ゴシック" w:hAnsi="游ゴシック"/>
                <w:color w:val="CC0000"/>
                <w:sz w:val="20"/>
              </w:rPr>
              <w:t>-87.23%</w:t>
            </w:r>
          </w:p>
        </w:tc>
      </w:tr>
      <w:tr>
        <w:tc>
          <w:tcPr>
            <w:tcW w:type="dxa" w:w="2268"/>
            <w:vAlign w:val="center"/>
          </w:tcPr>
          <w:p>
            <w:pPr>
              <w:spacing w:before="20" w:after="20"/>
              <w:jc w:val="center"/>
            </w:pPr>
            <w:r>
              <w:rPr>
                <w:rFonts w:ascii="游ゴシック" w:hAnsi="游ゴシック"/>
                <w:b/>
                <w:sz w:val="20"/>
              </w:rPr>
              <w:t>S&amp;P 500</w:t>
            </w:r>
          </w:p>
        </w:tc>
        <w:tc>
          <w:tcPr>
            <w:tcW w:type="dxa" w:w="1984"/>
            <w:vAlign w:val="center"/>
          </w:tcPr>
          <w:p>
            <w:pPr>
              <w:spacing w:before="20" w:after="20"/>
              <w:jc w:val="right"/>
            </w:pPr>
            <w:r>
              <w:rPr>
                <w:rFonts w:ascii="游ゴシック" w:hAnsi="游ゴシック"/>
                <w:sz w:val="20"/>
              </w:rPr>
              <w:t>7,483.23 pt</w:t>
            </w:r>
          </w:p>
        </w:tc>
        <w:tc>
          <w:tcPr>
            <w:tcW w:type="dxa" w:w="1417"/>
            <w:vAlign w:val="center"/>
          </w:tcPr>
          <w:p>
            <w:pPr>
              <w:spacing w:before="20" w:after="20"/>
              <w:jc w:val="right"/>
            </w:pPr>
            <w:r>
              <w:rPr>
                <w:rFonts w:ascii="游ゴシック" w:hAnsi="游ゴシック"/>
                <w:sz w:val="20"/>
              </w:rPr>
              <w:t>+637.73</w:t>
            </w:r>
          </w:p>
        </w:tc>
        <w:tc>
          <w:tcPr>
            <w:tcW w:type="dxa" w:w="1417"/>
            <w:vAlign w:val="center"/>
          </w:tcPr>
          <w:p>
            <w:pPr>
              <w:spacing w:before="20" w:after="20"/>
              <w:jc w:val="right"/>
            </w:pPr>
            <w:r>
              <w:rPr>
                <w:rFonts w:ascii="游ゴシック" w:hAnsi="游ゴシック"/>
                <w:sz w:val="20"/>
              </w:rPr>
              <w:t>+9.32%</w:t>
            </w:r>
          </w:p>
        </w:tc>
      </w:tr>
      <w:tr>
        <w:tc>
          <w:tcPr>
            <w:tcW w:type="dxa" w:w="2268"/>
            <w:vAlign w:val="center"/>
          </w:tcPr>
          <w:p>
            <w:pPr>
              <w:spacing w:before="20" w:after="20"/>
              <w:jc w:val="center"/>
            </w:pPr>
            <w:r>
              <w:rPr>
                <w:rFonts w:ascii="游ゴシック" w:hAnsi="游ゴシック"/>
                <w:b/>
                <w:sz w:val="20"/>
              </w:rPr>
              <w:t>NYダウ平均</w:t>
            </w:r>
          </w:p>
        </w:tc>
        <w:tc>
          <w:tcPr>
            <w:tcW w:type="dxa" w:w="1984"/>
            <w:vAlign w:val="center"/>
          </w:tcPr>
          <w:p>
            <w:pPr>
              <w:spacing w:before="20" w:after="20"/>
              <w:jc w:val="right"/>
            </w:pPr>
            <w:r>
              <w:rPr>
                <w:rFonts w:ascii="游ゴシック" w:hAnsi="游ゴシック"/>
                <w:sz w:val="20"/>
              </w:rPr>
              <w:t>52,305.24 $</w:t>
            </w:r>
          </w:p>
        </w:tc>
        <w:tc>
          <w:tcPr>
            <w:tcW w:type="dxa" w:w="1417"/>
            <w:vAlign w:val="center"/>
          </w:tcPr>
          <w:p>
            <w:pPr>
              <w:spacing w:before="20" w:after="20"/>
              <w:jc w:val="right"/>
            </w:pPr>
            <w:r>
              <w:rPr>
                <w:rFonts w:ascii="游ゴシック" w:hAnsi="游ゴシック"/>
                <w:sz w:val="20"/>
              </w:rPr>
              <w:t>+4,241.95</w:t>
            </w:r>
          </w:p>
        </w:tc>
        <w:tc>
          <w:tcPr>
            <w:tcW w:type="dxa" w:w="1417"/>
            <w:vAlign w:val="center"/>
          </w:tcPr>
          <w:p>
            <w:pPr>
              <w:spacing w:before="20" w:after="20"/>
              <w:jc w:val="right"/>
            </w:pPr>
            <w:r>
              <w:rPr>
                <w:rFonts w:ascii="游ゴシック" w:hAnsi="游ゴシック"/>
                <w:sz w:val="20"/>
              </w:rPr>
              <w:t>+8.83%</w:t>
            </w:r>
          </w:p>
        </w:tc>
      </w:tr>
      <w:tr>
        <w:tc>
          <w:tcPr>
            <w:tcW w:type="dxa" w:w="2268"/>
            <w:vAlign w:val="center"/>
          </w:tcPr>
          <w:p>
            <w:pPr>
              <w:spacing w:before="20" w:after="20"/>
              <w:jc w:val="center"/>
            </w:pPr>
            <w:r>
              <w:rPr>
                <w:rFonts w:ascii="游ゴシック" w:hAnsi="游ゴシック"/>
                <w:b/>
                <w:sz w:val="20"/>
              </w:rPr>
              <w:t>NASDAQ総合指数</w:t>
            </w:r>
          </w:p>
        </w:tc>
        <w:tc>
          <w:tcPr>
            <w:tcW w:type="dxa" w:w="1984"/>
            <w:vAlign w:val="center"/>
          </w:tcPr>
          <w:p>
            <w:pPr>
              <w:spacing w:before="20" w:after="20"/>
              <w:jc w:val="right"/>
            </w:pPr>
            <w:r>
              <w:rPr>
                <w:rFonts w:ascii="游ゴシック" w:hAnsi="游ゴシック"/>
                <w:sz w:val="20"/>
              </w:rPr>
              <w:t>26,040.00 pt</w:t>
            </w:r>
          </w:p>
        </w:tc>
        <w:tc>
          <w:tcPr>
            <w:tcW w:type="dxa" w:w="1417"/>
            <w:vAlign w:val="center"/>
          </w:tcPr>
          <w:p>
            <w:pPr>
              <w:spacing w:before="20" w:after="20"/>
              <w:jc w:val="right"/>
            </w:pPr>
            <w:r>
              <w:rPr>
                <w:rFonts w:ascii="游ゴシック" w:hAnsi="游ゴシック"/>
                <w:sz w:val="20"/>
              </w:rPr>
              <w:t>+2,798.01</w:t>
            </w:r>
          </w:p>
        </w:tc>
        <w:tc>
          <w:tcPr>
            <w:tcW w:type="dxa" w:w="1417"/>
            <w:vAlign w:val="center"/>
          </w:tcPr>
          <w:p>
            <w:pPr>
              <w:spacing w:before="20" w:after="20"/>
              <w:jc w:val="right"/>
            </w:pPr>
            <w:r>
              <w:rPr>
                <w:rFonts w:ascii="游ゴシック" w:hAnsi="游ゴシック"/>
                <w:sz w:val="20"/>
              </w:rPr>
              <w:t>+12.04%</w:t>
            </w:r>
          </w:p>
        </w:tc>
      </w:tr>
      <w:tr>
        <w:tc>
          <w:tcPr>
            <w:tcW w:type="dxa" w:w="2268"/>
            <w:vAlign w:val="center"/>
          </w:tcPr>
          <w:p>
            <w:pPr>
              <w:spacing w:before="20" w:after="20"/>
              <w:jc w:val="center"/>
            </w:pPr>
            <w:r>
              <w:rPr>
                <w:rFonts w:ascii="游ゴシック" w:hAnsi="游ゴシック"/>
                <w:b/>
                <w:sz w:val="20"/>
              </w:rPr>
              <w:t>米ドル/円</w:t>
            </w:r>
          </w:p>
        </w:tc>
        <w:tc>
          <w:tcPr>
            <w:tcW w:type="dxa" w:w="1984"/>
            <w:vAlign w:val="center"/>
          </w:tcPr>
          <w:p>
            <w:pPr>
              <w:spacing w:before="20" w:after="20"/>
              <w:jc w:val="right"/>
            </w:pPr>
            <w:r>
              <w:rPr>
                <w:rFonts w:ascii="游ゴシック" w:hAnsi="游ゴシック"/>
                <w:sz w:val="20"/>
              </w:rPr>
              <w:t>161.34 円</w:t>
            </w:r>
          </w:p>
        </w:tc>
        <w:tc>
          <w:tcPr>
            <w:tcW w:type="dxa" w:w="1417"/>
            <w:vAlign w:val="center"/>
          </w:tcPr>
          <w:p>
            <w:pPr>
              <w:spacing w:before="20" w:after="20"/>
              <w:jc w:val="right"/>
            </w:pPr>
            <w:r>
              <w:rPr>
                <w:rFonts w:ascii="游ゴシック" w:hAnsi="游ゴシック"/>
                <w:sz w:val="20"/>
              </w:rPr>
              <w:t>+4.93</w:t>
            </w:r>
          </w:p>
        </w:tc>
        <w:tc>
          <w:tcPr>
            <w:tcW w:type="dxa" w:w="1417"/>
            <w:vAlign w:val="center"/>
          </w:tcPr>
          <w:p>
            <w:pPr>
              <w:spacing w:before="20" w:after="20"/>
              <w:jc w:val="right"/>
            </w:pPr>
            <w:r>
              <w:rPr>
                <w:rFonts w:ascii="游ゴシック" w:hAnsi="游ゴシック"/>
                <w:sz w:val="20"/>
              </w:rPr>
              <w:t>+3.15%</w:t>
            </w:r>
          </w:p>
        </w:tc>
      </w:tr>
      <w:tr>
        <w:tc>
          <w:tcPr>
            <w:tcW w:type="dxa" w:w="2268"/>
            <w:vAlign w:val="center"/>
          </w:tcPr>
          <w:p>
            <w:pPr>
              <w:spacing w:before="20" w:after="20"/>
              <w:jc w:val="center"/>
            </w:pPr>
            <w:r>
              <w:rPr>
                <w:rFonts w:ascii="游ゴシック" w:hAnsi="游ゴシック"/>
                <w:b/>
                <w:sz w:val="20"/>
              </w:rPr>
              <w:t>ユーロ/円</w:t>
            </w:r>
          </w:p>
        </w:tc>
        <w:tc>
          <w:tcPr>
            <w:tcW w:type="dxa" w:w="1984"/>
            <w:vAlign w:val="center"/>
          </w:tcPr>
          <w:p>
            <w:pPr>
              <w:spacing w:before="20" w:after="20"/>
              <w:jc w:val="right"/>
            </w:pPr>
            <w:r>
              <w:rPr>
                <w:rFonts w:ascii="游ゴシック" w:hAnsi="游ゴシック"/>
                <w:sz w:val="20"/>
              </w:rPr>
              <w:t>184.56 円</w:t>
            </w:r>
          </w:p>
        </w:tc>
        <w:tc>
          <w:tcPr>
            <w:tcW w:type="dxa" w:w="1417"/>
            <w:vAlign w:val="center"/>
          </w:tcPr>
          <w:p>
            <w:pPr>
              <w:spacing w:before="20" w:after="20"/>
              <w:jc w:val="right"/>
            </w:pPr>
            <w:r>
              <w:rPr>
                <w:rFonts w:ascii="游ゴシック" w:hAnsi="游ゴシック"/>
                <w:sz w:val="20"/>
              </w:rPr>
              <w:t>+0.84</w:t>
            </w:r>
          </w:p>
        </w:tc>
        <w:tc>
          <w:tcPr>
            <w:tcW w:type="dxa" w:w="1417"/>
            <w:vAlign w:val="center"/>
          </w:tcPr>
          <w:p>
            <w:pPr>
              <w:spacing w:before="20" w:after="20"/>
              <w:jc w:val="right"/>
            </w:pPr>
            <w:r>
              <w:rPr>
                <w:rFonts w:ascii="游ゴシック" w:hAnsi="游ゴシック"/>
                <w:sz w:val="20"/>
              </w:rPr>
              <w:t>+0.46%</w:t>
            </w:r>
          </w:p>
        </w:tc>
      </w:tr>
    </w:tbl>
    <w:p>
      <w:pPr>
        <w:spacing w:after="80"/>
      </w:pPr>
      <w:r>
        <w:rPr>
          <w:rFonts w:ascii="游ゴシック" w:hAnsi="游ゴシック"/>
          <w:b w:val="0"/>
          <w:sz w:val="20"/>
        </w:rPr>
      </w:r>
    </w:p>
    <w:p>
      <w:pPr>
        <w:jc w:val="center"/>
      </w:pPr>
      <w:r>
        <w:drawing>
          <wp:inline xmlns:a="http://schemas.openxmlformats.org/drawingml/2006/main" xmlns:pic="http://schemas.openxmlformats.org/drawingml/2006/picture">
            <wp:extent cx="5486400" cy="1980437"/>
            <wp:docPr id="11" name="Picture 11"/>
            <wp:cNvGraphicFramePr>
              <a:graphicFrameLocks noChangeAspect="1"/>
            </wp:cNvGraphicFramePr>
            <a:graphic>
              <a:graphicData uri="http://schemas.openxmlformats.org/drawingml/2006/picture">
                <pic:pic>
                  <pic:nvPicPr>
                    <pic:cNvPr id="0" name="chart_index_comparison.png"/>
                    <pic:cNvPicPr/>
                  </pic:nvPicPr>
                  <pic:blipFill>
                    <a:blip r:embed="rId22"/>
                    <a:stretch>
                      <a:fillRect/>
                    </a:stretch>
                  </pic:blipFill>
                  <pic:spPr>
                    <a:xfrm>
                      <a:off x="0" y="0"/>
                      <a:ext cx="5486400" cy="1980437"/>
                    </a:xfrm>
                    <a:prstGeom prst="rect"/>
                  </pic:spPr>
                </pic:pic>
              </a:graphicData>
            </a:graphic>
          </wp:inline>
        </w:drawing>
      </w:r>
    </w:p>
    <w:sectPr w:rsidR="006C7ED7" w:rsidSect="000F4AFB">
      <w:headerReference w:type="default" r:id="rId8"/>
      <w:footerReference w:type="default" r:id="rId9"/>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D652" w14:textId="77777777" w:rsidR="00B340AB" w:rsidRDefault="00B340AB" w:rsidP="00C24EAA">
      <w:pPr>
        <w:spacing w:after="0" w:line="240" w:lineRule="auto"/>
      </w:pPr>
      <w:r>
        <w:separator/>
      </w:r>
    </w:p>
  </w:endnote>
  <w:endnote w:type="continuationSeparator" w:id="0">
    <w:p w14:paraId="4B0F36EB" w14:textId="77777777" w:rsidR="00B340AB" w:rsidRDefault="00B340AB" w:rsidP="00C24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9ECB" w14:textId="77777777" w:rsidR="00C24EAA" w:rsidRPr="00BD32E4" w:rsidRDefault="006C7ED7" w:rsidP="00397BA8">
    <w:pPr>
      <w:pStyle w:val="a5"/>
      <w:jc w:val="center"/>
      <w:rPr>
        <w:sz w:val="14"/>
        <w:szCs w:val="14"/>
      </w:rPr>
    </w:pPr>
    <w:r w:rsidRPr="0067552C">
      <w:rPr>
        <w:noProof/>
        <w:color w:val="040404"/>
      </w:rPr>
      <mc:AlternateContent>
        <mc:Choice Requires="wps">
          <w:drawing>
            <wp:anchor distT="0" distB="0" distL="114300" distR="114300" simplePos="0" relativeHeight="251351552" behindDoc="0" locked="0" layoutInCell="1" allowOverlap="1" wp14:anchorId="01D89B4A" wp14:editId="6DCA1B74">
              <wp:simplePos x="0" y="0"/>
              <wp:positionH relativeFrom="margin">
                <wp:align>right</wp:align>
              </wp:positionH>
              <wp:positionV relativeFrom="paragraph">
                <wp:posOffset>-174625</wp:posOffset>
              </wp:positionV>
              <wp:extent cx="5394960" cy="0"/>
              <wp:effectExtent l="0" t="0" r="0" b="0"/>
              <wp:wrapNone/>
              <wp:docPr id="598369455" name="直線コネクタ 19"/>
              <wp:cNvGraphicFramePr/>
              <a:graphic xmlns:a="http://schemas.openxmlformats.org/drawingml/2006/main">
                <a:graphicData uri="http://schemas.microsoft.com/office/word/2010/wordprocessingShape">
                  <wps:wsp>
                    <wps:cNvCnPr/>
                    <wps:spPr>
                      <a:xfrm>
                        <a:off x="0" y="0"/>
                        <a:ext cx="5394960" cy="0"/>
                      </a:xfrm>
                      <a:prstGeom prst="line">
                        <a:avLst/>
                      </a:prstGeom>
                      <a:noFill/>
                      <a:ln w="19050">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anchor>
          </w:drawing>
        </mc:Choice>
        <mc:Fallback>
          <w:pict>
            <v:line w14:anchorId="7C2FA768" id="直線コネクタ 19" o:spid="_x0000_s1026" style="position:absolute;z-index:251351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373.6pt,-13.75pt" to="798.4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" strokecolor="#bfbfbf [2412]" strokeweight="1.5pt">
              <v:stroke joinstyle="miter"/>
              <w10:wrap anchorx="margin"/>
            </v:line>
          </w:pict>
        </mc:Fallback>
      </mc:AlternateContent>
    </w:r>
    <w:r w:rsidR="00575A26" w:rsidRPr="00575A26">
      <w:rPr>
        <w:noProof/>
        <w:color w:val="AEAAAA" w:themeColor="background2" w:themeShade="BF"/>
        <w:sz w:val="18"/>
        <w:szCs w:val="18"/>
      </w:rPr>
      <mc:AlternateContent>
        <mc:Choice Requires="wps">
          <w:drawing>
            <wp:anchor distT="0" distB="0" distL="114300" distR="114300" simplePos="0" relativeHeight="251287040" behindDoc="0" locked="0" layoutInCell="1" allowOverlap="1" wp14:anchorId="7D8C2C79" wp14:editId="05930E21">
              <wp:simplePos x="0" y="0"/>
              <wp:positionH relativeFrom="margin">
                <wp:posOffset>1880870</wp:posOffset>
              </wp:positionH>
              <wp:positionV relativeFrom="paragraph">
                <wp:posOffset>557530</wp:posOffset>
              </wp:positionV>
              <wp:extent cx="1639314" cy="241935"/>
              <wp:effectExtent l="0" t="0" r="0" b="5715"/>
              <wp:wrapNone/>
              <wp:docPr id="1433253820" name="テキスト ボックス 5"/>
              <wp:cNvGraphicFramePr/>
              <a:graphic xmlns:a="http://schemas.openxmlformats.org/drawingml/2006/main">
                <a:graphicData uri="http://schemas.microsoft.com/office/word/2010/wordprocessingShape">
                  <wps:wsp>
                    <wps:cNvSpPr txBox="1"/>
                    <wps:spPr>
                      <a:xfrm>
                        <a:off x="0" y="0"/>
                        <a:ext cx="1639314" cy="241935"/>
                      </a:xfrm>
                      <a:prstGeom prst="rect">
                        <a:avLst/>
                      </a:prstGeom>
                      <a:noFill/>
                      <a:ln w="6350">
                        <a:noFill/>
                      </a:ln>
                    </wps:spPr>
                    <wps:txbx>
                      <w:txbxContent>
                        <w:p w14:paraId="55E338E6" w14:textId="77777777" w:rsidR="006C7ED7" w:rsidRPr="000B05B8" w:rsidRDefault="006C7ED7" w:rsidP="006C7ED7">
                          <w:pPr>
                            <w:jc w:val="center"/>
                            <w:rPr>
                              <w:color w:val="3B3838" w:themeColor="background2" w:themeShade="40"/>
                            </w:rPr>
                          </w:pPr>
                          <w:r w:rsidRPr="005007BA">
                            <w:rPr>
                              <w:rFonts w:hint="eastAsia"/>
                              <w:color w:val="3B3838" w:themeColor="background2" w:themeShade="40"/>
                              <w:w w:val="81"/>
                              <w:sz w:val="14"/>
                              <w:szCs w:val="14"/>
                              <w:fitText w:val="2100" w:id="-1009146112"/>
                            </w:rPr>
                            <w:t>（</w:t>
                          </w:r>
                          <w:r w:rsidRPr="005007BA">
                            <w:rPr>
                              <w:color w:val="3B3838" w:themeColor="background2" w:themeShade="40"/>
                              <w:w w:val="81"/>
                              <w:sz w:val="14"/>
                              <w:szCs w:val="14"/>
                              <w:fitText w:val="2100" w:id="-1009146112"/>
                            </w:rPr>
                            <w:t>C</w:t>
                          </w:r>
                          <w:r w:rsidRPr="005007BA">
                            <w:rPr>
                              <w:rFonts w:hint="eastAsia"/>
                              <w:color w:val="3B3838" w:themeColor="background2" w:themeShade="40"/>
                              <w:w w:val="81"/>
                              <w:sz w:val="14"/>
                              <w:szCs w:val="14"/>
                              <w:fitText w:val="2100" w:id="-1009146112"/>
                            </w:rPr>
                            <w:t>）</w:t>
                          </w:r>
                          <w:r w:rsidRPr="005007BA">
                            <w:rPr>
                              <w:color w:val="3B3838" w:themeColor="background2" w:themeShade="40"/>
                              <w:w w:val="81"/>
                              <w:sz w:val="14"/>
                              <w:szCs w:val="14"/>
                              <w:fitText w:val="2100" w:id="-1009146112"/>
                            </w:rPr>
                            <w:t>Forcus Co.Ltd., All Rights Reserve</w:t>
                          </w:r>
                          <w:r w:rsidRPr="005007BA">
                            <w:rPr>
                              <w:color w:val="3B3838" w:themeColor="background2" w:themeShade="40"/>
                              <w:spacing w:val="10"/>
                              <w:w w:val="81"/>
                              <w:sz w:val="14"/>
                              <w:szCs w:val="14"/>
                              <w:fitText w:val="2100" w:id="-1009146112"/>
                            </w:rPr>
                            <w:t>d</w:t>
                          </w:r>
                        </w:p>
                        <w:p w14:paraId="090AB47D" w14:textId="77777777" w:rsidR="00C82650" w:rsidRPr="006C7ED7" w:rsidRDefault="00C82650" w:rsidP="00575A26">
                          <w:pPr>
                            <w:jc w:val="center"/>
                            <w:rPr>
                              <w:color w:val="3B3838" w:themeColor="background2" w:themeShade="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8C2C79" id="_x0000_t202" coordsize="21600,21600" o:spt="202" path="m,l,21600r21600,l21600,xe">
              <v:stroke joinstyle="miter"/>
              <v:path gradientshapeok="t" o:connecttype="rect"/>
            </v:shapetype>
            <v:shape id="テキスト ボックス 5" o:spid="_x0000_s1026" type="#_x0000_t202" style="position:absolute;left:0;text-align:left;margin-left:148.1pt;margin-top:43.9pt;width:129.1pt;height:19.05pt;z-index:25128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" filled="f" stroked="f" strokeweight=".5pt">
              <v:textbox>
                <w:txbxContent>
                  <w:p w14:paraId="55E338E6" w14:textId="77777777" w:rsidR="006C7ED7" w:rsidRPr="000B05B8" w:rsidRDefault="006C7ED7" w:rsidP="006C7ED7">
                    <w:pPr>
                      <w:jc w:val="center"/>
                      <w:rPr>
                        <w:color w:val="3B3838" w:themeColor="background2" w:themeShade="40"/>
                      </w:rPr>
                    </w:pPr>
                    <w:r w:rsidRPr="005007BA">
                      <w:rPr>
                        <w:rFonts w:hint="eastAsia"/>
                        <w:color w:val="3B3838" w:themeColor="background2" w:themeShade="40"/>
                        <w:w w:val="81"/>
                        <w:sz w:val="14"/>
                        <w:szCs w:val="14"/>
                        <w:fitText w:val="2100" w:id="-1009146112"/>
                      </w:rPr>
                      <w:t>（</w:t>
                    </w:r>
                    <w:r w:rsidRPr="005007BA">
                      <w:rPr>
                        <w:color w:val="3B3838" w:themeColor="background2" w:themeShade="40"/>
                        <w:w w:val="81"/>
                        <w:sz w:val="14"/>
                        <w:szCs w:val="14"/>
                        <w:fitText w:val="2100" w:id="-1009146112"/>
                      </w:rPr>
                      <w:t>C</w:t>
                    </w:r>
                    <w:r w:rsidRPr="005007BA">
                      <w:rPr>
                        <w:rFonts w:hint="eastAsia"/>
                        <w:color w:val="3B3838" w:themeColor="background2" w:themeShade="40"/>
                        <w:w w:val="81"/>
                        <w:sz w:val="14"/>
                        <w:szCs w:val="14"/>
                        <w:fitText w:val="2100" w:id="-1009146112"/>
                      </w:rPr>
                      <w:t>）</w:t>
                    </w:r>
                    <w:r w:rsidRPr="005007BA">
                      <w:rPr>
                        <w:color w:val="3B3838" w:themeColor="background2" w:themeShade="40"/>
                        <w:w w:val="81"/>
                        <w:sz w:val="14"/>
                        <w:szCs w:val="14"/>
                        <w:fitText w:val="2100" w:id="-1009146112"/>
                      </w:rPr>
                      <w:t>Forcus Co.Ltd., All Rights Reserve</w:t>
                    </w:r>
                    <w:r w:rsidRPr="005007BA">
                      <w:rPr>
                        <w:color w:val="3B3838" w:themeColor="background2" w:themeShade="40"/>
                        <w:spacing w:val="10"/>
                        <w:w w:val="81"/>
                        <w:sz w:val="14"/>
                        <w:szCs w:val="14"/>
                        <w:fitText w:val="2100" w:id="-1009146112"/>
                      </w:rPr>
                      <w:t>d</w:t>
                    </w:r>
                  </w:p>
                  <w:p w14:paraId="090AB47D" w14:textId="77777777" w:rsidR="00C82650" w:rsidRPr="006C7ED7" w:rsidRDefault="00C82650" w:rsidP="00575A26">
                    <w:pPr>
                      <w:jc w:val="center"/>
                      <w:rPr>
                        <w:color w:val="3B3838" w:themeColor="background2" w:themeShade="40"/>
                      </w:rPr>
                    </w:pPr>
                  </w:p>
                </w:txbxContent>
              </v:textbox>
              <w10:wrap anchorx="margin"/>
            </v:shape>
          </w:pict>
        </mc:Fallback>
      </mc:AlternateContent>
    </w:r>
    <w:r w:rsidR="00171E69" w:rsidRPr="00575A26">
      <w:rPr>
        <w:noProof/>
        <w:color w:val="AEAAAA" w:themeColor="background2" w:themeShade="BF"/>
        <w:sz w:val="18"/>
        <w:szCs w:val="18"/>
      </w:rPr>
      <mc:AlternateContent>
        <mc:Choice Requires="wpg">
          <w:drawing>
            <wp:anchor distT="0" distB="0" distL="114300" distR="114300" simplePos="0" relativeHeight="251281920" behindDoc="0" locked="0" layoutInCell="1" allowOverlap="1" wp14:anchorId="7591B850" wp14:editId="7258DB55">
              <wp:simplePos x="0" y="0"/>
              <wp:positionH relativeFrom="margin">
                <wp:align>center</wp:align>
              </wp:positionH>
              <wp:positionV relativeFrom="paragraph">
                <wp:posOffset>313055</wp:posOffset>
              </wp:positionV>
              <wp:extent cx="696595" cy="165100"/>
              <wp:effectExtent l="0" t="0" r="8255" b="6350"/>
              <wp:wrapNone/>
              <wp:docPr id="55" name="グループ化 54">
                <a:extLst xmlns:a="http://schemas.openxmlformats.org/drawingml/2006/main">
                  <a:ext uri="{FF2B5EF4-FFF2-40B4-BE49-F238E27FC236}">
                    <a16:creationId xmlns:a16="http://schemas.microsoft.com/office/drawing/2014/main" id="{1C45C005-5FD6-7307-F69B-C7D0C04F488B}"/>
                  </a:ext>
                </a:extLst>
              </wp:docPr>
              <wp:cNvGraphicFramePr/>
              <a:graphic xmlns:a="http://schemas.openxmlformats.org/drawingml/2006/main">
                <a:graphicData uri="http://schemas.microsoft.com/office/word/2010/wordprocessingGroup">
                  <wpg:wgp>
                    <wpg:cNvGrpSpPr/>
                    <wpg:grpSpPr>
                      <a:xfrm>
                        <a:off x="0" y="0"/>
                        <a:ext cx="696595" cy="165100"/>
                        <a:chOff x="0" y="0"/>
                        <a:chExt cx="2759914" cy="660498"/>
                      </a:xfrm>
                    </wpg:grpSpPr>
                    <wps:wsp>
                      <wps:cNvPr id="952080342" name="object 11">
                        <a:extLst>
                          <a:ext uri="{FF2B5EF4-FFF2-40B4-BE49-F238E27FC236}">
                            <a16:creationId xmlns:a16="http://schemas.microsoft.com/office/drawing/2014/main" id="{B8DAAA05-9FF6-8958-41F5-A038A067EA57}"/>
                          </a:ext>
                        </a:extLst>
                      </wps:cNvPr>
                      <wps:cNvSpPr/>
                      <wps:spPr>
                        <a:xfrm>
                          <a:off x="3" y="188693"/>
                          <a:ext cx="660400" cy="471805"/>
                        </a:xfrm>
                        <a:custGeom>
                          <a:avLst/>
                          <a:gdLst/>
                          <a:ahLst/>
                          <a:cxnLst/>
                          <a:rect l="l" t="t" r="r" b="b"/>
                          <a:pathLst>
                            <a:path w="660400" h="471804">
                              <a:moveTo>
                                <a:pt x="257873" y="0"/>
                              </a:moveTo>
                              <a:lnTo>
                                <a:pt x="0" y="0"/>
                              </a:lnTo>
                              <a:lnTo>
                                <a:pt x="0" y="471716"/>
                              </a:lnTo>
                              <a:lnTo>
                                <a:pt x="128155" y="471716"/>
                              </a:lnTo>
                              <a:lnTo>
                                <a:pt x="128155" y="94195"/>
                              </a:lnTo>
                              <a:lnTo>
                                <a:pt x="128638" y="94195"/>
                              </a:lnTo>
                              <a:lnTo>
                                <a:pt x="134286" y="144694"/>
                              </a:lnTo>
                              <a:lnTo>
                                <a:pt x="145966" y="191374"/>
                              </a:lnTo>
                              <a:lnTo>
                                <a:pt x="163214" y="234127"/>
                              </a:lnTo>
                              <a:lnTo>
                                <a:pt x="185570" y="272842"/>
                              </a:lnTo>
                              <a:lnTo>
                                <a:pt x="212573" y="307412"/>
                              </a:lnTo>
                              <a:lnTo>
                                <a:pt x="243762" y="337726"/>
                              </a:lnTo>
                              <a:lnTo>
                                <a:pt x="278674" y="363676"/>
                              </a:lnTo>
                              <a:lnTo>
                                <a:pt x="316849" y="385152"/>
                              </a:lnTo>
                              <a:lnTo>
                                <a:pt x="357825" y="402046"/>
                              </a:lnTo>
                              <a:lnTo>
                                <a:pt x="401142" y="414249"/>
                              </a:lnTo>
                              <a:lnTo>
                                <a:pt x="446337" y="421650"/>
                              </a:lnTo>
                              <a:lnTo>
                                <a:pt x="492950" y="424141"/>
                              </a:lnTo>
                              <a:lnTo>
                                <a:pt x="660400" y="424154"/>
                              </a:lnTo>
                              <a:lnTo>
                                <a:pt x="660400" y="295998"/>
                              </a:lnTo>
                              <a:lnTo>
                                <a:pt x="511416" y="295998"/>
                              </a:lnTo>
                              <a:lnTo>
                                <a:pt x="453291" y="291945"/>
                              </a:lnTo>
                              <a:lnTo>
                                <a:pt x="402400" y="280121"/>
                              </a:lnTo>
                              <a:lnTo>
                                <a:pt x="358902" y="261029"/>
                              </a:lnTo>
                              <a:lnTo>
                                <a:pt x="322956" y="235175"/>
                              </a:lnTo>
                              <a:lnTo>
                                <a:pt x="294721" y="203061"/>
                              </a:lnTo>
                              <a:lnTo>
                                <a:pt x="274356" y="165193"/>
                              </a:lnTo>
                              <a:lnTo>
                                <a:pt x="262020" y="122073"/>
                              </a:lnTo>
                              <a:lnTo>
                                <a:pt x="257873" y="74206"/>
                              </a:lnTo>
                              <a:lnTo>
                                <a:pt x="257873" y="0"/>
                              </a:lnTo>
                              <a:close/>
                            </a:path>
                          </a:pathLst>
                        </a:custGeom>
                        <a:solidFill>
                          <a:srgbClr val="231F20"/>
                        </a:solidFill>
                      </wps:spPr>
                      <wps:bodyPr wrap="square" lIns="0" tIns="0" rIns="0" bIns="0" rtlCol="0"/>
                    </wps:wsp>
                    <wps:wsp>
                      <wps:cNvPr id="192614782" name="object 12">
                        <a:extLst>
                          <a:ext uri="{FF2B5EF4-FFF2-40B4-BE49-F238E27FC236}">
                            <a16:creationId xmlns:a16="http://schemas.microsoft.com/office/drawing/2014/main" id="{751B5F73-E678-B04C-726B-EE5936426E21}"/>
                          </a:ext>
                        </a:extLst>
                      </wps:cNvPr>
                      <wps:cNvSpPr/>
                      <wps:spPr>
                        <a:xfrm>
                          <a:off x="0" y="0"/>
                          <a:ext cx="660400" cy="126364"/>
                        </a:xfrm>
                        <a:custGeom>
                          <a:avLst/>
                          <a:gdLst/>
                          <a:ahLst/>
                          <a:cxnLst/>
                          <a:rect l="l" t="t" r="r" b="b"/>
                          <a:pathLst>
                            <a:path w="660400" h="126364">
                              <a:moveTo>
                                <a:pt x="660399" y="0"/>
                              </a:moveTo>
                              <a:lnTo>
                                <a:pt x="0" y="0"/>
                              </a:lnTo>
                              <a:lnTo>
                                <a:pt x="0" y="125793"/>
                              </a:lnTo>
                              <a:lnTo>
                                <a:pt x="660399" y="125793"/>
                              </a:lnTo>
                              <a:lnTo>
                                <a:pt x="660399" y="0"/>
                              </a:lnTo>
                              <a:close/>
                            </a:path>
                          </a:pathLst>
                        </a:custGeom>
                        <a:solidFill>
                          <a:srgbClr val="231F20"/>
                        </a:solidFill>
                      </wps:spPr>
                      <wps:bodyPr wrap="square" lIns="0" tIns="0" rIns="0" bIns="0" rtlCol="0"/>
                    </wps:wsp>
                    <wps:wsp>
                      <wps:cNvPr id="1736527410" name="object 13">
                        <a:extLst>
                          <a:ext uri="{FF2B5EF4-FFF2-40B4-BE49-F238E27FC236}">
                            <a16:creationId xmlns:a16="http://schemas.microsoft.com/office/drawing/2014/main" id="{05A92C99-AED0-01CA-305E-EB410CF65F2F}"/>
                          </a:ext>
                        </a:extLst>
                      </wps:cNvPr>
                      <wps:cNvSpPr/>
                      <wps:spPr>
                        <a:xfrm>
                          <a:off x="1100659" y="110540"/>
                          <a:ext cx="1659255" cy="440055"/>
                        </a:xfrm>
                        <a:custGeom>
                          <a:avLst/>
                          <a:gdLst/>
                          <a:ahLst/>
                          <a:cxnLst/>
                          <a:rect l="l" t="t" r="r" b="b"/>
                          <a:pathLst>
                            <a:path w="1659254" h="440054">
                              <a:moveTo>
                                <a:pt x="290156" y="0"/>
                              </a:moveTo>
                              <a:lnTo>
                                <a:pt x="0" y="0"/>
                              </a:lnTo>
                              <a:lnTo>
                                <a:pt x="0" y="53340"/>
                              </a:lnTo>
                              <a:lnTo>
                                <a:pt x="0" y="186690"/>
                              </a:lnTo>
                              <a:lnTo>
                                <a:pt x="0" y="237490"/>
                              </a:lnTo>
                              <a:lnTo>
                                <a:pt x="0" y="430530"/>
                              </a:lnTo>
                              <a:lnTo>
                                <a:pt x="60210" y="430530"/>
                              </a:lnTo>
                              <a:lnTo>
                                <a:pt x="60210" y="237490"/>
                              </a:lnTo>
                              <a:lnTo>
                                <a:pt x="274142" y="237490"/>
                              </a:lnTo>
                              <a:lnTo>
                                <a:pt x="274142" y="186690"/>
                              </a:lnTo>
                              <a:lnTo>
                                <a:pt x="60210" y="186690"/>
                              </a:lnTo>
                              <a:lnTo>
                                <a:pt x="60210" y="53340"/>
                              </a:lnTo>
                              <a:lnTo>
                                <a:pt x="290156" y="53340"/>
                              </a:lnTo>
                              <a:lnTo>
                                <a:pt x="290156" y="0"/>
                              </a:lnTo>
                              <a:close/>
                            </a:path>
                            <a:path w="1659254" h="440054">
                              <a:moveTo>
                                <a:pt x="598360" y="276466"/>
                              </a:moveTo>
                              <a:lnTo>
                                <a:pt x="591337" y="221881"/>
                              </a:lnTo>
                              <a:lnTo>
                                <a:pt x="571461" y="179120"/>
                              </a:lnTo>
                              <a:lnTo>
                                <a:pt x="543280" y="148361"/>
                              </a:lnTo>
                              <a:lnTo>
                                <a:pt x="543280" y="272618"/>
                              </a:lnTo>
                              <a:lnTo>
                                <a:pt x="541794" y="300507"/>
                              </a:lnTo>
                              <a:lnTo>
                                <a:pt x="529945" y="346786"/>
                              </a:lnTo>
                              <a:lnTo>
                                <a:pt x="506323" y="379895"/>
                              </a:lnTo>
                              <a:lnTo>
                                <a:pt x="471411" y="396709"/>
                              </a:lnTo>
                              <a:lnTo>
                                <a:pt x="449757" y="398805"/>
                              </a:lnTo>
                              <a:lnTo>
                                <a:pt x="435444" y="397992"/>
                              </a:lnTo>
                              <a:lnTo>
                                <a:pt x="392811" y="378777"/>
                              </a:lnTo>
                              <a:lnTo>
                                <a:pt x="369150" y="344627"/>
                              </a:lnTo>
                              <a:lnTo>
                                <a:pt x="359791" y="306476"/>
                              </a:lnTo>
                              <a:lnTo>
                                <a:pt x="358343" y="289979"/>
                              </a:lnTo>
                              <a:lnTo>
                                <a:pt x="358355" y="276466"/>
                              </a:lnTo>
                              <a:lnTo>
                                <a:pt x="363207" y="234594"/>
                              </a:lnTo>
                              <a:lnTo>
                                <a:pt x="381939" y="193763"/>
                              </a:lnTo>
                              <a:lnTo>
                                <a:pt x="422452" y="163982"/>
                              </a:lnTo>
                              <a:lnTo>
                                <a:pt x="454240" y="159893"/>
                              </a:lnTo>
                              <a:lnTo>
                                <a:pt x="466534" y="160540"/>
                              </a:lnTo>
                              <a:lnTo>
                                <a:pt x="505358" y="175641"/>
                              </a:lnTo>
                              <a:lnTo>
                                <a:pt x="533425" y="214020"/>
                              </a:lnTo>
                              <a:lnTo>
                                <a:pt x="542239" y="253161"/>
                              </a:lnTo>
                              <a:lnTo>
                                <a:pt x="543280" y="272618"/>
                              </a:lnTo>
                              <a:lnTo>
                                <a:pt x="543280" y="148361"/>
                              </a:lnTo>
                              <a:lnTo>
                                <a:pt x="507085" y="128181"/>
                              </a:lnTo>
                              <a:lnTo>
                                <a:pt x="467995" y="119481"/>
                              </a:lnTo>
                              <a:lnTo>
                                <a:pt x="454888" y="118897"/>
                              </a:lnTo>
                              <a:lnTo>
                                <a:pt x="431444" y="120040"/>
                              </a:lnTo>
                              <a:lnTo>
                                <a:pt x="391883" y="129171"/>
                              </a:lnTo>
                              <a:lnTo>
                                <a:pt x="349364" y="157251"/>
                              </a:lnTo>
                              <a:lnTo>
                                <a:pt x="322173" y="193941"/>
                              </a:lnTo>
                              <a:lnTo>
                                <a:pt x="307886" y="233870"/>
                              </a:lnTo>
                              <a:lnTo>
                                <a:pt x="302437" y="279019"/>
                              </a:lnTo>
                              <a:lnTo>
                                <a:pt x="303136" y="298259"/>
                              </a:lnTo>
                              <a:lnTo>
                                <a:pt x="313651" y="348526"/>
                              </a:lnTo>
                              <a:lnTo>
                                <a:pt x="335318" y="387794"/>
                              </a:lnTo>
                              <a:lnTo>
                                <a:pt x="366331" y="416267"/>
                              </a:lnTo>
                              <a:lnTo>
                                <a:pt x="405244" y="433857"/>
                              </a:lnTo>
                              <a:lnTo>
                                <a:pt x="450405" y="439801"/>
                              </a:lnTo>
                              <a:lnTo>
                                <a:pt x="465251" y="439166"/>
                              </a:lnTo>
                              <a:lnTo>
                                <a:pt x="507403" y="429552"/>
                              </a:lnTo>
                              <a:lnTo>
                                <a:pt x="543979" y="408419"/>
                              </a:lnTo>
                              <a:lnTo>
                                <a:pt x="572579" y="375754"/>
                              </a:lnTo>
                              <a:lnTo>
                                <a:pt x="591693" y="331597"/>
                              </a:lnTo>
                              <a:lnTo>
                                <a:pt x="597623" y="296049"/>
                              </a:lnTo>
                              <a:lnTo>
                                <a:pt x="598360" y="276466"/>
                              </a:lnTo>
                              <a:close/>
                            </a:path>
                            <a:path w="1659254" h="440054">
                              <a:moveTo>
                                <a:pt x="781062" y="124663"/>
                              </a:moveTo>
                              <a:lnTo>
                                <a:pt x="743165" y="129527"/>
                              </a:lnTo>
                              <a:lnTo>
                                <a:pt x="706120" y="149009"/>
                              </a:lnTo>
                              <a:lnTo>
                                <a:pt x="677938" y="183591"/>
                              </a:lnTo>
                              <a:lnTo>
                                <a:pt x="677938" y="128511"/>
                              </a:lnTo>
                              <a:lnTo>
                                <a:pt x="626694" y="128511"/>
                              </a:lnTo>
                              <a:lnTo>
                                <a:pt x="626694" y="430199"/>
                              </a:lnTo>
                              <a:lnTo>
                                <a:pt x="677938" y="430199"/>
                              </a:lnTo>
                              <a:lnTo>
                                <a:pt x="677938" y="290563"/>
                              </a:lnTo>
                              <a:lnTo>
                                <a:pt x="678091" y="271424"/>
                              </a:lnTo>
                              <a:lnTo>
                                <a:pt x="687133" y="221602"/>
                              </a:lnTo>
                              <a:lnTo>
                                <a:pt x="711885" y="192239"/>
                              </a:lnTo>
                              <a:lnTo>
                                <a:pt x="747788" y="178727"/>
                              </a:lnTo>
                              <a:lnTo>
                                <a:pt x="761212" y="177838"/>
                              </a:lnTo>
                              <a:lnTo>
                                <a:pt x="768032" y="177838"/>
                              </a:lnTo>
                              <a:lnTo>
                                <a:pt x="774661" y="178473"/>
                              </a:lnTo>
                              <a:lnTo>
                                <a:pt x="781062" y="179755"/>
                              </a:lnTo>
                              <a:lnTo>
                                <a:pt x="781062" y="124663"/>
                              </a:lnTo>
                              <a:close/>
                            </a:path>
                            <a:path w="1659254" h="440054">
                              <a:moveTo>
                                <a:pt x="1079207" y="321310"/>
                              </a:moveTo>
                              <a:lnTo>
                                <a:pt x="1024128" y="316179"/>
                              </a:lnTo>
                              <a:lnTo>
                                <a:pt x="1022921" y="324878"/>
                              </a:lnTo>
                              <a:lnTo>
                                <a:pt x="1021245" y="333260"/>
                              </a:lnTo>
                              <a:lnTo>
                                <a:pt x="1005446" y="369404"/>
                              </a:lnTo>
                              <a:lnTo>
                                <a:pt x="967359" y="395274"/>
                              </a:lnTo>
                              <a:lnTo>
                                <a:pt x="938288" y="398818"/>
                              </a:lnTo>
                              <a:lnTo>
                                <a:pt x="916355" y="396709"/>
                              </a:lnTo>
                              <a:lnTo>
                                <a:pt x="881126" y="379818"/>
                              </a:lnTo>
                              <a:lnTo>
                                <a:pt x="857465" y="346925"/>
                              </a:lnTo>
                              <a:lnTo>
                                <a:pt x="845616" y="303276"/>
                              </a:lnTo>
                              <a:lnTo>
                                <a:pt x="844130" y="277749"/>
                              </a:lnTo>
                              <a:lnTo>
                                <a:pt x="844613" y="261239"/>
                              </a:lnTo>
                              <a:lnTo>
                                <a:pt x="851763" y="220091"/>
                              </a:lnTo>
                              <a:lnTo>
                                <a:pt x="872109" y="182499"/>
                              </a:lnTo>
                              <a:lnTo>
                                <a:pt x="909205" y="159461"/>
                              </a:lnTo>
                              <a:lnTo>
                                <a:pt x="934415" y="156057"/>
                              </a:lnTo>
                              <a:lnTo>
                                <a:pt x="950468" y="157175"/>
                              </a:lnTo>
                              <a:lnTo>
                                <a:pt x="989088" y="173990"/>
                              </a:lnTo>
                              <a:lnTo>
                                <a:pt x="1011974" y="209537"/>
                              </a:lnTo>
                              <a:lnTo>
                                <a:pt x="1015796" y="225234"/>
                              </a:lnTo>
                              <a:lnTo>
                                <a:pt x="1073442" y="220103"/>
                              </a:lnTo>
                              <a:lnTo>
                                <a:pt x="1055763" y="177368"/>
                              </a:lnTo>
                              <a:lnTo>
                                <a:pt x="1025944" y="145986"/>
                              </a:lnTo>
                              <a:lnTo>
                                <a:pt x="979906" y="124307"/>
                              </a:lnTo>
                              <a:lnTo>
                                <a:pt x="933831" y="118897"/>
                              </a:lnTo>
                              <a:lnTo>
                                <a:pt x="916051" y="119697"/>
                              </a:lnTo>
                              <a:lnTo>
                                <a:pt x="869480" y="131711"/>
                              </a:lnTo>
                              <a:lnTo>
                                <a:pt x="833234" y="156146"/>
                              </a:lnTo>
                              <a:lnTo>
                                <a:pt x="807389" y="190563"/>
                              </a:lnTo>
                              <a:lnTo>
                                <a:pt x="791730" y="233197"/>
                              </a:lnTo>
                              <a:lnTo>
                                <a:pt x="786485" y="281597"/>
                              </a:lnTo>
                              <a:lnTo>
                                <a:pt x="787107" y="298551"/>
                              </a:lnTo>
                              <a:lnTo>
                                <a:pt x="796455" y="345325"/>
                              </a:lnTo>
                              <a:lnTo>
                                <a:pt x="816660" y="384365"/>
                              </a:lnTo>
                              <a:lnTo>
                                <a:pt x="847128" y="413867"/>
                              </a:lnTo>
                              <a:lnTo>
                                <a:pt x="887044" y="433133"/>
                              </a:lnTo>
                              <a:lnTo>
                                <a:pt x="936396" y="439801"/>
                              </a:lnTo>
                              <a:lnTo>
                                <a:pt x="949121" y="439420"/>
                              </a:lnTo>
                              <a:lnTo>
                                <a:pt x="997038" y="430174"/>
                              </a:lnTo>
                              <a:lnTo>
                                <a:pt x="1036726" y="405955"/>
                              </a:lnTo>
                              <a:lnTo>
                                <a:pt x="1065758" y="364718"/>
                              </a:lnTo>
                              <a:lnTo>
                                <a:pt x="1075563" y="337019"/>
                              </a:lnTo>
                              <a:lnTo>
                                <a:pt x="1079207" y="321310"/>
                              </a:lnTo>
                              <a:close/>
                            </a:path>
                            <a:path w="1659254" h="440054">
                              <a:moveTo>
                                <a:pt x="1360690" y="128511"/>
                              </a:moveTo>
                              <a:lnTo>
                                <a:pt x="1309446" y="128511"/>
                              </a:lnTo>
                              <a:lnTo>
                                <a:pt x="1309446" y="282498"/>
                              </a:lnTo>
                              <a:lnTo>
                                <a:pt x="1308963" y="301028"/>
                              </a:lnTo>
                              <a:lnTo>
                                <a:pt x="1299641" y="346265"/>
                              </a:lnTo>
                              <a:lnTo>
                                <a:pt x="1268945" y="378028"/>
                              </a:lnTo>
                              <a:lnTo>
                                <a:pt x="1226324" y="389204"/>
                              </a:lnTo>
                              <a:lnTo>
                                <a:pt x="1211948" y="388607"/>
                              </a:lnTo>
                              <a:lnTo>
                                <a:pt x="1175512" y="370039"/>
                              </a:lnTo>
                              <a:lnTo>
                                <a:pt x="1162024" y="329704"/>
                              </a:lnTo>
                              <a:lnTo>
                                <a:pt x="1161491" y="128511"/>
                              </a:lnTo>
                              <a:lnTo>
                                <a:pt x="1110246" y="128511"/>
                              </a:lnTo>
                              <a:lnTo>
                                <a:pt x="1110246" y="322592"/>
                              </a:lnTo>
                              <a:lnTo>
                                <a:pt x="1110386" y="332193"/>
                              </a:lnTo>
                              <a:lnTo>
                                <a:pt x="1114145" y="370547"/>
                              </a:lnTo>
                              <a:lnTo>
                                <a:pt x="1134897" y="410743"/>
                              </a:lnTo>
                              <a:lnTo>
                                <a:pt x="1170457" y="432117"/>
                              </a:lnTo>
                              <a:lnTo>
                                <a:pt x="1206322" y="437883"/>
                              </a:lnTo>
                              <a:lnTo>
                                <a:pt x="1221232" y="436981"/>
                              </a:lnTo>
                              <a:lnTo>
                                <a:pt x="1264297" y="423468"/>
                              </a:lnTo>
                              <a:lnTo>
                                <a:pt x="1299781" y="395909"/>
                              </a:lnTo>
                              <a:lnTo>
                                <a:pt x="1308811" y="384086"/>
                              </a:lnTo>
                              <a:lnTo>
                                <a:pt x="1308811" y="430199"/>
                              </a:lnTo>
                              <a:lnTo>
                                <a:pt x="1360690" y="430199"/>
                              </a:lnTo>
                              <a:lnTo>
                                <a:pt x="1360690" y="128511"/>
                              </a:lnTo>
                              <a:close/>
                            </a:path>
                            <a:path w="1659254" h="440054">
                              <a:moveTo>
                                <a:pt x="1659178" y="344360"/>
                              </a:moveTo>
                              <a:lnTo>
                                <a:pt x="1647291" y="302514"/>
                              </a:lnTo>
                              <a:lnTo>
                                <a:pt x="1615274" y="275513"/>
                              </a:lnTo>
                              <a:lnTo>
                                <a:pt x="1569288" y="259257"/>
                              </a:lnTo>
                              <a:lnTo>
                                <a:pt x="1529562" y="249567"/>
                              </a:lnTo>
                              <a:lnTo>
                                <a:pt x="1513281" y="245325"/>
                              </a:lnTo>
                              <a:lnTo>
                                <a:pt x="1475930" y="231635"/>
                              </a:lnTo>
                              <a:lnTo>
                                <a:pt x="1456766" y="202171"/>
                              </a:lnTo>
                              <a:lnTo>
                                <a:pt x="1456766" y="197472"/>
                              </a:lnTo>
                              <a:lnTo>
                                <a:pt x="1481632" y="164922"/>
                              </a:lnTo>
                              <a:lnTo>
                                <a:pt x="1516062" y="157975"/>
                              </a:lnTo>
                              <a:lnTo>
                                <a:pt x="1523860" y="158191"/>
                              </a:lnTo>
                              <a:lnTo>
                                <a:pt x="1561223" y="166941"/>
                              </a:lnTo>
                              <a:lnTo>
                                <a:pt x="1589824" y="192138"/>
                              </a:lnTo>
                              <a:lnTo>
                                <a:pt x="1596402" y="224586"/>
                              </a:lnTo>
                              <a:lnTo>
                                <a:pt x="1651495" y="218186"/>
                              </a:lnTo>
                              <a:lnTo>
                                <a:pt x="1639582" y="179006"/>
                              </a:lnTo>
                              <a:lnTo>
                                <a:pt x="1610017" y="145491"/>
                              </a:lnTo>
                              <a:lnTo>
                                <a:pt x="1573999" y="126771"/>
                              </a:lnTo>
                              <a:lnTo>
                                <a:pt x="1534274" y="119214"/>
                              </a:lnTo>
                              <a:lnTo>
                                <a:pt x="1522742" y="118897"/>
                              </a:lnTo>
                              <a:lnTo>
                                <a:pt x="1512468" y="119189"/>
                              </a:lnTo>
                              <a:lnTo>
                                <a:pt x="1471256" y="126466"/>
                              </a:lnTo>
                              <a:lnTo>
                                <a:pt x="1435544" y="144767"/>
                              </a:lnTo>
                              <a:lnTo>
                                <a:pt x="1411478" y="175602"/>
                              </a:lnTo>
                              <a:lnTo>
                                <a:pt x="1405521" y="208572"/>
                              </a:lnTo>
                              <a:lnTo>
                                <a:pt x="1405839" y="216420"/>
                              </a:lnTo>
                              <a:lnTo>
                                <a:pt x="1422476" y="256768"/>
                              </a:lnTo>
                              <a:lnTo>
                                <a:pt x="1461579" y="281914"/>
                              </a:lnTo>
                              <a:lnTo>
                                <a:pt x="1498384" y="293255"/>
                              </a:lnTo>
                              <a:lnTo>
                                <a:pt x="1549425" y="303377"/>
                              </a:lnTo>
                              <a:lnTo>
                                <a:pt x="1571523" y="308292"/>
                              </a:lnTo>
                              <a:lnTo>
                                <a:pt x="1603336" y="333794"/>
                              </a:lnTo>
                              <a:lnTo>
                                <a:pt x="1605368" y="341160"/>
                              </a:lnTo>
                              <a:lnTo>
                                <a:pt x="1605368" y="350126"/>
                              </a:lnTo>
                              <a:lnTo>
                                <a:pt x="1586928" y="387819"/>
                              </a:lnTo>
                              <a:lnTo>
                                <a:pt x="1548879" y="400088"/>
                              </a:lnTo>
                              <a:lnTo>
                                <a:pt x="1541691" y="400735"/>
                              </a:lnTo>
                              <a:lnTo>
                                <a:pt x="1525968" y="400469"/>
                              </a:lnTo>
                              <a:lnTo>
                                <a:pt x="1481709" y="389763"/>
                              </a:lnTo>
                              <a:lnTo>
                                <a:pt x="1455204" y="358876"/>
                              </a:lnTo>
                              <a:lnTo>
                                <a:pt x="1450365" y="324510"/>
                              </a:lnTo>
                              <a:lnTo>
                                <a:pt x="1392720" y="332841"/>
                              </a:lnTo>
                              <a:lnTo>
                                <a:pt x="1404569" y="374472"/>
                              </a:lnTo>
                              <a:lnTo>
                                <a:pt x="1429550" y="408419"/>
                              </a:lnTo>
                              <a:lnTo>
                                <a:pt x="1471180" y="431482"/>
                              </a:lnTo>
                              <a:lnTo>
                                <a:pt x="1515427" y="439280"/>
                              </a:lnTo>
                              <a:lnTo>
                                <a:pt x="1532991" y="439801"/>
                              </a:lnTo>
                              <a:lnTo>
                                <a:pt x="1546199" y="439381"/>
                              </a:lnTo>
                              <a:lnTo>
                                <a:pt x="1594104" y="429361"/>
                              </a:lnTo>
                              <a:lnTo>
                                <a:pt x="1631010" y="407301"/>
                              </a:lnTo>
                              <a:lnTo>
                                <a:pt x="1653768" y="374688"/>
                              </a:lnTo>
                              <a:lnTo>
                                <a:pt x="1658581" y="354990"/>
                              </a:lnTo>
                              <a:lnTo>
                                <a:pt x="1659178" y="344360"/>
                              </a:lnTo>
                              <a:close/>
                            </a:path>
                          </a:pathLst>
                        </a:custGeom>
                        <a:solidFill>
                          <a:srgbClr val="231F20"/>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773B93A0" id="グループ化 54" o:spid="_x0000_s1026" style="position:absolute;margin-left:0;margin-top:24.65pt;width:54.85pt;height:13pt;z-index:251281920;mso-position-horizontal:center;mso-position-horizontal-relative:margin;mso-width-relative:margin;mso-height-relative:margin" coordsize="27599,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">
              <v:shape id="object 11" o:spid="_x0000_s1027" style="position:absolute;top:1886;width:6604;height:4718;visibility:visible;mso-wrap-style:square;v-text-anchor:top" coordsize="660400,47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" path="m257873,l,,,471716r128155,l128155,94195r483,l134286,144694r11680,46680l163214,234127r22356,38715l212573,307412r31189,30314l278674,363676r38175,21476l357825,402046r43317,12203l446337,421650r46613,2491l660400,424154r,-128156l511416,295998r-58125,-4053l402400,280121,358902,261029,322956,235175,294721,203061,274356,165193,262020,122073,257873,74206,257873,xe" fillcolor="#231f20" stroked="f">
                <v:path arrowok="t"/>
              </v:shape>
              <v:shape id="object 12" o:spid="_x0000_s1028" style="position:absolute;width:6604;height:1263;visibility:visible;mso-wrap-style:square;v-text-anchor:top" coordsize="660400,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" path="m660399,l,,,125793r660399,l660399,xe" fillcolor="#231f20" stroked="f">
                <v:path arrowok="t"/>
              </v:shape>
              <v:shape id="object 13" o:spid="_x0000_s1029" style="position:absolute;left:11006;top:1105;width:16593;height:4400;visibility:visible;mso-wrap-style:square;v-text-anchor:top" coordsize="1659254,440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" path="m290156,l,,,53340,,186690r,50800l,430530r60210,l60210,237490r213932,l274142,186690r-213932,l60210,53340r229946,l290156,xem598360,276466r-7023,-54585l571461,179120,543280,148361r,124257l541794,300507r-11849,46279l506323,379895r-34912,16814l449757,398805r-14313,-813l392811,378777,369150,344627r-9359,-38151l358343,289979r12,-13513l363207,234594r18732,-40831l422452,163982r31788,-4089l466534,160540r38824,15101l533425,214020r8814,39141l543280,272618r,-124257l507085,128181r-39090,-8700l454888,118897r-23444,1143l391883,129171r-42519,28080l322173,193941r-14287,39929l302437,279019r699,19240l313651,348526r21667,39268l366331,416267r38913,17590l450405,439801r14846,-635l507403,429552r36576,-21133l572579,375754r19114,-44157l597623,296049r737,-19583xem781062,124663r-37897,4864l706120,149009r-28182,34582l677938,128511r-51244,l626694,430199r51244,l677938,290563r153,-19139l687133,221602r24752,-29363l747788,178727r13424,-889l768032,177838r6629,635l781062,179755r,-55092xem1079207,321310r-55079,-5131l1022921,324878r-1676,8382l1005446,369404r-38087,25870l938288,398818r-21933,-2109l881126,379818,857465,346925,845616,303276r-1486,-25527l844613,261239r7150,-41148l872109,182499r37096,-23038l934415,156057r16053,1118l989088,173990r22886,35547l1015796,225234r57646,-5131l1055763,177368r-29819,-31382l979906,124307r-46075,-5410l916051,119697r-46571,12014l833234,156146r-25845,34417l791730,233197r-5245,48400l787107,298551r9348,46774l816660,384365r30468,29502l887044,433133r49352,6668l949121,439420r47917,-9246l1036726,405955r29032,-41237l1075563,337019r3644,-15709xem1360690,128511r-51244,l1309446,282498r-483,18530l1299641,346265r-30696,31763l1226324,389204r-14376,-597l1175512,370039r-13488,-40335l1161491,128511r-51245,l1110246,322592r140,9601l1114145,370547r20752,40196l1170457,432117r35865,5766l1221232,436981r43065,-13513l1299781,395909r9030,-11823l1308811,430199r51879,l1360690,128511xem1659178,344360r-11887,-41846l1615274,275513r-45986,-16256l1529562,249567r-16281,-4242l1475930,231635r-19164,-29464l1456766,197472r24866,-32550l1516062,157975r7798,216l1561223,166941r28601,25197l1596402,224586r55093,-6400l1639582,179006r-29565,-33515l1573999,126771r-39725,-7557l1522742,118897r-10274,292l1471256,126466r-35712,18301l1411478,175602r-5957,32970l1405839,216420r16637,40348l1461579,281914r36805,11341l1549425,303377r22098,4915l1603336,333794r2032,7366l1605368,350126r-18440,37693l1548879,400088r-7188,647l1525968,400469r-44259,-10706l1455204,358876r-4839,-34366l1392720,332841r11849,41631l1429550,408419r41630,23063l1515427,439280r17564,521l1546199,439381r47905,-10020l1631010,407301r22758,-32613l1658581,354990r597,-10630xe" fillcolor="#231f20" stroked="f">
                <v:path arrowok="t"/>
              </v:shape>
              <w10:wrap anchorx="margin"/>
            </v:group>
          </w:pict>
        </mc:Fallback>
      </mc:AlternateContent>
    </w:r>
    <w:r w:rsidR="00BD32E4" w:rsidRPr="00575A26">
      <w:rPr>
        <w:color w:val="AEAAAA" w:themeColor="background2" w:themeShade="BF"/>
        <w:sz w:val="18"/>
        <w:szCs w:val="18"/>
      </w:rPr>
      <w:fldChar w:fldCharType="begin"/>
    </w:r>
    <w:r w:rsidR="00BD32E4" w:rsidRPr="00575A26">
      <w:rPr>
        <w:color w:val="AEAAAA" w:themeColor="background2" w:themeShade="BF"/>
        <w:sz w:val="18"/>
        <w:szCs w:val="18"/>
      </w:rPr>
      <w:instrText>PAGE   \* MERGEFORMAT</w:instrText>
    </w:r>
    <w:r w:rsidR="00BD32E4" w:rsidRPr="00575A26">
      <w:rPr>
        <w:color w:val="AEAAAA" w:themeColor="background2" w:themeShade="BF"/>
        <w:sz w:val="18"/>
        <w:szCs w:val="18"/>
      </w:rPr>
      <w:fldChar w:fldCharType="separate"/>
    </w:r>
    <w:r w:rsidR="00BD32E4" w:rsidRPr="00575A26">
      <w:rPr>
        <w:color w:val="AEAAAA" w:themeColor="background2" w:themeShade="BF"/>
        <w:sz w:val="18"/>
        <w:szCs w:val="18"/>
      </w:rPr>
      <w:t>1</w:t>
    </w:r>
    <w:r w:rsidR="00BD32E4" w:rsidRPr="00575A26">
      <w:rPr>
        <w:color w:val="AEAAAA" w:themeColor="background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02FB" w14:textId="77777777" w:rsidR="00B340AB" w:rsidRDefault="00B340AB" w:rsidP="00C24EAA">
      <w:pPr>
        <w:spacing w:after="0" w:line="240" w:lineRule="auto"/>
      </w:pPr>
      <w:r>
        <w:separator/>
      </w:r>
    </w:p>
  </w:footnote>
  <w:footnote w:type="continuationSeparator" w:id="0">
    <w:p w14:paraId="116F32D7" w14:textId="77777777" w:rsidR="00B340AB" w:rsidRDefault="00B340AB" w:rsidP="00C24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8256" w14:textId="77777777" w:rsidR="001F2D3B" w:rsidRDefault="001F2D3B">
    <w:pPr>
      <w:pStyle w:val="a3"/>
    </w:pPr>
  </w:p>
  <w:p w14:paraId="1E62FFB3" w14:textId="77777777" w:rsidR="006C7ED7" w:rsidRDefault="006C7ED7">
    <w:pPr>
      <w:pStyle w:val="a3"/>
    </w:pPr>
    <w:r w:rsidRPr="0067552C">
      <w:rPr>
        <w:noProof/>
        <w:color w:val="040404"/>
      </w:rPr>
      <mc:AlternateContent>
        <mc:Choice Requires="wps">
          <w:drawing>
            <wp:anchor distT="0" distB="0" distL="114300" distR="114300" simplePos="0" relativeHeight="251511296" behindDoc="0" locked="0" layoutInCell="1" allowOverlap="1" wp14:anchorId="77A42DAF" wp14:editId="70798B0E">
              <wp:simplePos x="0" y="0"/>
              <wp:positionH relativeFrom="margin">
                <wp:posOffset>5080</wp:posOffset>
              </wp:positionH>
              <wp:positionV relativeFrom="paragraph">
                <wp:posOffset>140335</wp:posOffset>
              </wp:positionV>
              <wp:extent cx="5394960" cy="0"/>
              <wp:effectExtent l="0" t="0" r="0" b="0"/>
              <wp:wrapNone/>
              <wp:docPr id="1479014678" name="直線コネクタ 19"/>
              <wp:cNvGraphicFramePr/>
              <a:graphic xmlns:a="http://schemas.openxmlformats.org/drawingml/2006/main">
                <a:graphicData uri="http://schemas.microsoft.com/office/word/2010/wordprocessingShape">
                  <wps:wsp>
                    <wps:cNvCnPr/>
                    <wps:spPr>
                      <a:xfrm>
                        <a:off x="0" y="0"/>
                        <a:ext cx="5394960" cy="0"/>
                      </a:xfrm>
                      <a:prstGeom prst="line">
                        <a:avLst/>
                      </a:prstGeom>
                      <a:noFill/>
                      <a:ln w="19050">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14:sizeRelH relativeFrom="margin">
                <wp14:pctWidth>0</wp14:pctWidth>
              </wp14:sizeRelH>
            </wp:anchor>
          </w:drawing>
        </mc:Choice>
        <mc:Fallback>
          <w:pict>
            <v:line w14:anchorId="3B7AF22D" id="直線コネクタ 19" o:spid="_x0000_s1026" style="position:absolute;z-index:2515112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pt,11.05pt" to="425.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" strokecolor="#bfbfbf [2412]"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7D4A"/>
    <w:multiLevelType w:val="hybridMultilevel"/>
    <w:tmpl w:val="05D047D4"/>
    <w:lvl w:ilvl="0" w:tplc="0409000F">
      <w:start w:val="1"/>
      <w:numFmt w:val="decimal"/>
      <w:lvlText w:val="%1."/>
      <w:lvlJc w:val="left"/>
      <w:pPr>
        <w:ind w:left="440" w:hanging="440"/>
      </w:pPr>
    </w:lvl>
    <w:lvl w:ilvl="1" w:tplc="04090009">
      <w:start w:val="1"/>
      <w:numFmt w:val="bullet"/>
      <w:lvlText w:val=""/>
      <w:lvlJc w:val="left"/>
      <w:pPr>
        <w:ind w:left="88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2797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3F"/>
    <w:rsid w:val="00006E3C"/>
    <w:rsid w:val="00011E6E"/>
    <w:rsid w:val="0002082C"/>
    <w:rsid w:val="00023E05"/>
    <w:rsid w:val="000B05B8"/>
    <w:rsid w:val="000C7E11"/>
    <w:rsid w:val="000D2036"/>
    <w:rsid w:val="000F4AFB"/>
    <w:rsid w:val="0011704B"/>
    <w:rsid w:val="001264DE"/>
    <w:rsid w:val="00132308"/>
    <w:rsid w:val="001369A3"/>
    <w:rsid w:val="00152BF9"/>
    <w:rsid w:val="00162273"/>
    <w:rsid w:val="00171E69"/>
    <w:rsid w:val="0019317A"/>
    <w:rsid w:val="00197F6F"/>
    <w:rsid w:val="001A6600"/>
    <w:rsid w:val="001B443B"/>
    <w:rsid w:val="001F2D3B"/>
    <w:rsid w:val="00216C26"/>
    <w:rsid w:val="0022408A"/>
    <w:rsid w:val="00233A47"/>
    <w:rsid w:val="00235DBE"/>
    <w:rsid w:val="0027263D"/>
    <w:rsid w:val="00281C33"/>
    <w:rsid w:val="002D3FE1"/>
    <w:rsid w:val="002D6F08"/>
    <w:rsid w:val="002F5255"/>
    <w:rsid w:val="0031787D"/>
    <w:rsid w:val="003403A7"/>
    <w:rsid w:val="00350841"/>
    <w:rsid w:val="00375EF8"/>
    <w:rsid w:val="00397BA8"/>
    <w:rsid w:val="003A1D0F"/>
    <w:rsid w:val="003B66DC"/>
    <w:rsid w:val="003B7EFF"/>
    <w:rsid w:val="00410E18"/>
    <w:rsid w:val="0043625F"/>
    <w:rsid w:val="00436FCE"/>
    <w:rsid w:val="0044071A"/>
    <w:rsid w:val="00451DB7"/>
    <w:rsid w:val="00452D40"/>
    <w:rsid w:val="00463A9A"/>
    <w:rsid w:val="004A1DFE"/>
    <w:rsid w:val="004A4392"/>
    <w:rsid w:val="004B7894"/>
    <w:rsid w:val="004C0088"/>
    <w:rsid w:val="005007BA"/>
    <w:rsid w:val="00575A26"/>
    <w:rsid w:val="0057611A"/>
    <w:rsid w:val="00597AD6"/>
    <w:rsid w:val="005A2C81"/>
    <w:rsid w:val="005A46EB"/>
    <w:rsid w:val="005D12D7"/>
    <w:rsid w:val="005D5BBE"/>
    <w:rsid w:val="005E4D89"/>
    <w:rsid w:val="005F4634"/>
    <w:rsid w:val="006031D1"/>
    <w:rsid w:val="00613198"/>
    <w:rsid w:val="00627AF1"/>
    <w:rsid w:val="006514C2"/>
    <w:rsid w:val="0067552C"/>
    <w:rsid w:val="00682241"/>
    <w:rsid w:val="006A1D03"/>
    <w:rsid w:val="006C7ED7"/>
    <w:rsid w:val="006E2002"/>
    <w:rsid w:val="006E77F0"/>
    <w:rsid w:val="00710C80"/>
    <w:rsid w:val="007734AC"/>
    <w:rsid w:val="007A117E"/>
    <w:rsid w:val="007A7C46"/>
    <w:rsid w:val="007B5C5F"/>
    <w:rsid w:val="007C7DD8"/>
    <w:rsid w:val="007D6D83"/>
    <w:rsid w:val="007E71FB"/>
    <w:rsid w:val="007E7E8B"/>
    <w:rsid w:val="00821ADA"/>
    <w:rsid w:val="008354A6"/>
    <w:rsid w:val="008424CF"/>
    <w:rsid w:val="00844379"/>
    <w:rsid w:val="00854710"/>
    <w:rsid w:val="008626BA"/>
    <w:rsid w:val="00870105"/>
    <w:rsid w:val="008727E2"/>
    <w:rsid w:val="008A7B9A"/>
    <w:rsid w:val="008B58D0"/>
    <w:rsid w:val="00903E54"/>
    <w:rsid w:val="00923A6B"/>
    <w:rsid w:val="00925D57"/>
    <w:rsid w:val="00986F8D"/>
    <w:rsid w:val="009A638E"/>
    <w:rsid w:val="00A04A9A"/>
    <w:rsid w:val="00A21C05"/>
    <w:rsid w:val="00A22CB3"/>
    <w:rsid w:val="00A73392"/>
    <w:rsid w:val="00A83807"/>
    <w:rsid w:val="00A86D3D"/>
    <w:rsid w:val="00AA2F2F"/>
    <w:rsid w:val="00AC33D5"/>
    <w:rsid w:val="00AD2ECC"/>
    <w:rsid w:val="00AD3800"/>
    <w:rsid w:val="00B26BC2"/>
    <w:rsid w:val="00B340AB"/>
    <w:rsid w:val="00B358FC"/>
    <w:rsid w:val="00B705A4"/>
    <w:rsid w:val="00B74DB6"/>
    <w:rsid w:val="00BB4845"/>
    <w:rsid w:val="00BD32E4"/>
    <w:rsid w:val="00C16644"/>
    <w:rsid w:val="00C24EAA"/>
    <w:rsid w:val="00C3493F"/>
    <w:rsid w:val="00C6333A"/>
    <w:rsid w:val="00C82650"/>
    <w:rsid w:val="00C84EB9"/>
    <w:rsid w:val="00CA6CC6"/>
    <w:rsid w:val="00D017A4"/>
    <w:rsid w:val="00D269A8"/>
    <w:rsid w:val="00D37CA3"/>
    <w:rsid w:val="00D56C1E"/>
    <w:rsid w:val="00D64BDB"/>
    <w:rsid w:val="00D65109"/>
    <w:rsid w:val="00D9462D"/>
    <w:rsid w:val="00DC3873"/>
    <w:rsid w:val="00DC4C6D"/>
    <w:rsid w:val="00DD59B7"/>
    <w:rsid w:val="00DE1791"/>
    <w:rsid w:val="00DF6F23"/>
    <w:rsid w:val="00E14C57"/>
    <w:rsid w:val="00E20A2F"/>
    <w:rsid w:val="00E360A1"/>
    <w:rsid w:val="00E4735A"/>
    <w:rsid w:val="00E604ED"/>
    <w:rsid w:val="00E6133C"/>
    <w:rsid w:val="00E839BD"/>
    <w:rsid w:val="00E83B37"/>
    <w:rsid w:val="00EA48C8"/>
    <w:rsid w:val="00EC1A45"/>
    <w:rsid w:val="00EC3F2C"/>
    <w:rsid w:val="00EC4963"/>
    <w:rsid w:val="00F442A3"/>
    <w:rsid w:val="00F764B3"/>
    <w:rsid w:val="00F85438"/>
    <w:rsid w:val="00F86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4F9F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105"/>
    <w:pPr>
      <w:spacing w:after="120" w:line="264" w:lineRule="auto"/>
    </w:pPr>
    <w:rPr>
      <w:rFonts w:ascii="游ゴシック" w:hAnsi="游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EAA"/>
    <w:pPr>
      <w:tabs>
        <w:tab w:val="center" w:pos="4252"/>
        <w:tab w:val="right" w:pos="8504"/>
      </w:tabs>
      <w:snapToGrid w:val="0"/>
    </w:pPr>
  </w:style>
  <w:style w:type="character" w:customStyle="1" w:styleId="a4">
    <w:name w:val="ヘッダー (文字)"/>
    <w:basedOn w:val="a0"/>
    <w:link w:val="a3"/>
    <w:uiPriority w:val="99"/>
    <w:rsid w:val="00C24EAA"/>
  </w:style>
  <w:style w:type="paragraph" w:styleId="a5">
    <w:name w:val="footer"/>
    <w:basedOn w:val="a"/>
    <w:link w:val="a6"/>
    <w:uiPriority w:val="99"/>
    <w:unhideWhenUsed/>
    <w:rsid w:val="00C24EAA"/>
    <w:pPr>
      <w:tabs>
        <w:tab w:val="center" w:pos="4252"/>
        <w:tab w:val="right" w:pos="8504"/>
      </w:tabs>
      <w:snapToGrid w:val="0"/>
    </w:pPr>
  </w:style>
  <w:style w:type="character" w:customStyle="1" w:styleId="a6">
    <w:name w:val="フッター (文字)"/>
    <w:basedOn w:val="a0"/>
    <w:link w:val="a5"/>
    <w:uiPriority w:val="99"/>
    <w:rsid w:val="00C24EAA"/>
  </w:style>
  <w:style w:type="paragraph" w:styleId="a7">
    <w:name w:val="List Paragraph"/>
    <w:basedOn w:val="a"/>
    <w:uiPriority w:val="34"/>
    <w:qFormat/>
    <w:rsid w:val="00BD32E4"/>
    <w:pPr>
      <w:ind w:leftChars="400" w:left="840"/>
    </w:pPr>
  </w:style>
  <w:style w:type="paragraph" w:styleId="Web">
    <w:name w:val="Normal (Web)"/>
    <w:basedOn w:val="a"/>
    <w:uiPriority w:val="99"/>
    <w:semiHidden/>
    <w:unhideWhenUsed/>
    <w:rsid w:val="0044071A"/>
    <w:pPr>
      <w:spacing w:before="100" w:beforeAutospacing="1" w:after="100" w:afterAutospacing="1" w:line="240" w:lineRule="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46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1A402-D1BF-4AD9-AEBE-73F4B7EB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Forcus</Template>
  <TotalTime>0</TotalTime>
  <Pages>1</Pages>
  <Words>0</Words>
  <Characters>0</Characters>
  <Application>Microsoft Office Word</Application>
  <DocSecurity>0</DocSecurity>
  <Lines>0</Lines>
  <Paragraphs>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久保田完</dc:creator>
  <cp:keywords/>
  <dc:description/>
  <cp:lastModifiedBy>坂本 悠</cp:lastModifiedBy>
  <cp:revision>2</cp:revision>
  <cp:lastPrinted>2024-02-21T04:46:00Z</cp:lastPrinted>
  <dcterms:created xsi:type="dcterms:W3CDTF">2026-02-13T07:44:00Z</dcterms:created>
  <dcterms:modified xsi:type="dcterms:W3CDTF">2026-02-13T07:44:00Z</dcterms:modified>
</cp:coreProperties>
</file>